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>
        <w:trPr>
          <w:cantSplit/>
          <w:trHeight w:val="340" w:hRule="atLeast"/>
        </w:trPr>
        <w:tc>
          <w:tcPr>
            <w:tcW w:w="2834" w:type="dxa"/>
            <w:tcBorders/>
            <w:shd w:val="clear" w:color="auto" w:fill="auto"/>
            <w:vAlign w:val="center"/>
          </w:tcPr>
          <w:p>
            <w:pPr>
              <w:pStyle w:val="style4141"/>
              <w:rPr>
                <w:b/>
                <w:bCs/>
                <w:caps w:val="false"/>
                <w:sz w:val="20"/>
                <w:szCs w:val="28"/>
              </w:rPr>
            </w:pPr>
            <w:r>
              <w:rPr>
                <w:b/>
                <w:bCs/>
                <w:caps w:val="false"/>
                <w:sz w:val="20"/>
                <w:szCs w:val="28"/>
              </w:rPr>
              <w:t>PERSONAL INFORMATION</w:t>
            </w:r>
          </w:p>
        </w:tc>
        <w:tc>
          <w:tcPr>
            <w:tcW w:w="7541" w:type="dxa"/>
            <w:tcBorders/>
            <w:shd w:val="clear" w:color="auto" w:fill="auto"/>
            <w:vAlign w:val="center"/>
          </w:tcPr>
          <w:p>
            <w:pPr>
              <w:pStyle w:val="style4110"/>
              <w:jc w:val="center"/>
              <w:rPr/>
            </w:pPr>
            <w:r>
              <w:rPr>
                <w:sz w:val="28"/>
                <w:szCs w:val="20"/>
              </w:rPr>
              <w:t xml:space="preserve">Tamer Mahmoud </w:t>
            </w:r>
            <w:r>
              <w:rPr>
                <w:sz w:val="28"/>
                <w:szCs w:val="20"/>
              </w:rPr>
              <w:t>Samy</w:t>
            </w:r>
            <w:r>
              <w:rPr>
                <w:sz w:val="28"/>
                <w:szCs w:val="20"/>
              </w:rPr>
              <w:t xml:space="preserve"> Mohamed</w:t>
            </w:r>
          </w:p>
        </w:tc>
      </w:tr>
      <w:tr>
        <w:tblPrEx/>
        <w:trPr>
          <w:cantSplit/>
          <w:trHeight w:val="227" w:hRule="exact"/>
        </w:trPr>
        <w:tc>
          <w:tcPr>
            <w:tcW w:w="10375" w:type="dxa"/>
            <w:gridSpan w:val="2"/>
            <w:tcBorders/>
            <w:shd w:val="clear" w:color="auto" w:fill="auto"/>
          </w:tcPr>
          <w:p>
            <w:pPr>
              <w:pStyle w:val="style4114"/>
              <w:rPr/>
            </w:pPr>
          </w:p>
        </w:tc>
      </w:tr>
      <w:tr>
        <w:tblPrEx/>
        <w:trPr>
          <w:cantSplit/>
          <w:trHeight w:val="340" w:hRule="atLeast"/>
        </w:trPr>
        <w:tc>
          <w:tcPr>
            <w:tcW w:w="2834" w:type="dxa"/>
            <w:vMerge w:val="restart"/>
            <w:tcBorders/>
            <w:shd w:val="clear" w:color="auto" w:fill="auto"/>
          </w:tcPr>
          <w:p>
            <w:pPr>
              <w:pStyle w:val="style4107"/>
              <w:rPr/>
            </w:pPr>
            <w:r>
              <w:rPr>
                <w:noProof/>
                <w:lang w:val="en-US" w:bidi="ar-SA" w:eastAsia="en-US"/>
              </w:rPr>
              <w:drawing>
                <wp:inline distT="0" distB="0" distR="0" distL="0">
                  <wp:extent cx="971550" cy="1312797"/>
                  <wp:effectExtent l="0" t="0" r="0" b="0"/>
                  <wp:docPr id="1027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1550" cy="13127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4113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noProof/>
                <w:sz w:val="22"/>
                <w:szCs w:val="22"/>
                <w:lang w:val="en-US" w:bidi="ar-SA" w:eastAsia="en-US"/>
              </w:rPr>
              <w:drawing>
                <wp:anchor distT="0" distB="0" distL="0" distR="71755" simplePos="false" relativeHeight="2" behindDoc="false" locked="false" layoutInCell="true" allowOverlap="tru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028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3825" cy="14351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cs="Calibri" w:hAnsi="Calibri"/>
                <w:sz w:val="22"/>
                <w:szCs w:val="22"/>
                <w:lang w:val="en-US"/>
              </w:rPr>
              <w:t>10 Amin Oth</w:t>
            </w:r>
            <w:r>
              <w:rPr>
                <w:rFonts w:ascii="Calibri" w:cs="Calibri" w:hAnsi="Calibri"/>
                <w:sz w:val="22"/>
                <w:szCs w:val="22"/>
                <w:lang w:val="en-US"/>
              </w:rPr>
              <w:t>man St</w:t>
            </w:r>
            <w:r>
              <w:rPr>
                <w:rFonts w:ascii="Calibri" w:cs="Calibri" w:hAnsi="Calibri"/>
                <w:sz w:val="22"/>
                <w:szCs w:val="22"/>
              </w:rPr>
              <w:t>,</w:t>
            </w:r>
            <w:r>
              <w:rPr>
                <w:rFonts w:ascii="Calibri" w:cs="Calibri" w:hAnsi="Calibri"/>
                <w:sz w:val="22"/>
                <w:szCs w:val="22"/>
              </w:rPr>
              <w:t xml:space="preserve"> </w:t>
            </w:r>
            <w:r>
              <w:rPr>
                <w:rFonts w:ascii="Calibri" w:cs="Calibri" w:hAnsi="Calibri"/>
                <w:sz w:val="22"/>
                <w:szCs w:val="22"/>
              </w:rPr>
              <w:t>Assuit</w:t>
            </w:r>
            <w:r>
              <w:rPr>
                <w:rFonts w:ascii="Calibri" w:cs="Calibri" w:hAnsi="Calibri"/>
                <w:sz w:val="22"/>
                <w:szCs w:val="22"/>
              </w:rPr>
              <w:t xml:space="preserve"> City, Egypt</w:t>
            </w:r>
          </w:p>
        </w:tc>
      </w:tr>
      <w:tr>
        <w:tblPrEx/>
        <w:trPr>
          <w:cantSplit/>
          <w:trHeight w:val="340" w:hRule="atLeast"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4113"/>
              <w:tabs>
                <w:tab w:val="right" w:leader="none" w:pos="8218"/>
              </w:tabs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noProof/>
                <w:sz w:val="22"/>
                <w:szCs w:val="22"/>
                <w:lang w:val="en-US" w:bidi="ar-SA" w:eastAsia="en-US"/>
              </w:rPr>
              <w:drawing>
                <wp:anchor distT="0" distB="0" distL="0" distR="71755" simplePos="false" relativeHeight="4" behindDoc="false" locked="false" layoutInCell="true" allowOverlap="tru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029" name="Picture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5730" cy="128905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>+20 – 88 – 2068837</w:t>
            </w:r>
            <w:r>
              <w:rPr>
                <w:rFonts w:ascii="Calibri" w:cs="Calibri" w:hAnsi="Calibri"/>
                <w:noProof/>
                <w:sz w:val="22"/>
                <w:szCs w:val="22"/>
                <w:lang w:val="en-US" w:bidi="ar-SA" w:eastAsia="en-US"/>
              </w:rPr>
              <w:drawing>
                <wp:inline distT="0" distB="0" distR="0" distL="0">
                  <wp:extent cx="125730" cy="129540"/>
                  <wp:effectExtent l="0" t="0" r="0" b="0"/>
                  <wp:docPr id="1030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5730" cy="12954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 xml:space="preserve">+20 </w:t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>–</w:t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 xml:space="preserve"> 1123212821</w:t>
            </w:r>
          </w:p>
        </w:tc>
      </w:tr>
      <w:tr>
        <w:tblPrEx/>
        <w:trPr>
          <w:cantSplit/>
          <w:trHeight w:val="340" w:hRule="atLeast"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7541" w:type="dxa"/>
            <w:tcBorders/>
            <w:shd w:val="clear" w:color="auto" w:fill="auto"/>
            <w:vAlign w:val="center"/>
          </w:tcPr>
          <w:p>
            <w:pPr>
              <w:pStyle w:val="style4113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noProof/>
                <w:sz w:val="22"/>
                <w:szCs w:val="22"/>
                <w:lang w:val="en-US" w:bidi="ar-SA" w:eastAsia="en-US"/>
              </w:rPr>
              <w:drawing>
                <wp:anchor distT="0" distB="0" distL="0" distR="71755" simplePos="false" relativeHeight="3" behindDoc="false" locked="false" layoutInCell="true" allowOverlap="tru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031" name="Picture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6365" cy="144145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/>
              <w:fldChar w:fldCharType="begin"/>
            </w:r>
            <w:r>
              <w:instrText xml:space="preserve"> HYPERLINK "mailto:tamersamy1990@gmail.com" </w:instrText>
            </w:r>
            <w:r>
              <w:rPr/>
              <w:fldChar w:fldCharType="separate"/>
            </w:r>
            <w:r>
              <w:rPr>
                <w:rStyle w:val="style85"/>
              </w:rPr>
              <w:t>tamersamy1990@gmail.com</w:t>
            </w:r>
            <w:r>
              <w:rPr/>
              <w:fldChar w:fldCharType="end"/>
            </w:r>
          </w:p>
        </w:tc>
      </w:tr>
      <w:tr>
        <w:tblPrEx/>
        <w:trPr>
          <w:cantSplit/>
          <w:trHeight w:val="340" w:hRule="atLeast"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4113"/>
              <w:rPr>
                <w:rFonts w:ascii="Calibri" w:cs="Calibri" w:hAnsi="Calibri"/>
                <w:sz w:val="22"/>
                <w:szCs w:val="22"/>
              </w:rPr>
            </w:pPr>
          </w:p>
        </w:tc>
      </w:tr>
      <w:tr>
        <w:tblPrEx/>
        <w:trPr>
          <w:cantSplit/>
          <w:trHeight w:val="397" w:hRule="atLeast"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7541" w:type="dxa"/>
            <w:tcBorders/>
            <w:shd w:val="clear" w:color="auto" w:fill="auto"/>
            <w:vAlign w:val="center"/>
          </w:tcPr>
          <w:p>
            <w:pPr>
              <w:pStyle w:val="style4143"/>
              <w:rPr>
                <w:rFonts w:ascii="Calibri" w:cs="Calibri" w:hAnsi="Calibri"/>
                <w:sz w:val="22"/>
                <w:szCs w:val="22"/>
              </w:rPr>
            </w:pPr>
            <w:r>
              <w:rPr>
                <w:rStyle w:val="style4097"/>
                <w:rFonts w:ascii="Calibri" w:cs="Calibri" w:hAnsi="Calibri"/>
                <w:sz w:val="22"/>
                <w:szCs w:val="22"/>
              </w:rPr>
              <w:t>Sex</w:t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>Male</w:t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 xml:space="preserve">   </w:t>
            </w:r>
            <w:r>
              <w:rPr>
                <w:rStyle w:val="style4097"/>
                <w:rFonts w:ascii="Calibri" w:cs="Calibri" w:hAnsi="Calibri"/>
                <w:sz w:val="22"/>
                <w:szCs w:val="22"/>
              </w:rPr>
              <w:t>| Date of birth</w:t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>2</w:t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>/</w:t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>9</w:t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>/</w:t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>19900</w:t>
            </w:r>
            <w:r>
              <w:rPr>
                <w:rStyle w:val="style4097"/>
                <w:rFonts w:ascii="Calibri" w:cs="Calibri" w:hAnsi="Calibri"/>
                <w:sz w:val="22"/>
                <w:szCs w:val="22"/>
              </w:rPr>
              <w:t>| Nationality</w:t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 xml:space="preserve"> </w:t>
            </w:r>
            <w:r>
              <w:rPr>
                <w:rStyle w:val="style4098"/>
                <w:rFonts w:ascii="Calibri" w:cs="Calibri" w:hAnsi="Calibri"/>
                <w:sz w:val="22"/>
                <w:szCs w:val="22"/>
              </w:rPr>
              <w:t>Egyptian</w:t>
            </w:r>
          </w:p>
        </w:tc>
      </w:tr>
    </w:tbl>
    <w:p>
      <w:pPr>
        <w:pStyle w:val="style4138"/>
        <w:rPr/>
      </w:pPr>
    </w:p>
    <w:tbl>
      <w:tblPr>
        <w:tblpPr w:leftFromText="0" w:rightFromText="0" w:topFromText="170" w:bottomFromText="170" w:vertAnchor="text" w:tblpXSpec="lef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>
        <w:trPr>
          <w:cantSplit/>
          <w:trHeight w:val="340" w:hRule="atLeast"/>
        </w:trPr>
        <w:tc>
          <w:tcPr>
            <w:tcW w:w="2834" w:type="dxa"/>
            <w:tcBorders/>
            <w:shd w:val="clear" w:color="auto" w:fill="auto"/>
            <w:vAlign w:val="center"/>
          </w:tcPr>
          <w:p>
            <w:pPr>
              <w:pStyle w:val="style4107"/>
              <w:rPr>
                <w:b/>
                <w:bCs/>
              </w:rPr>
            </w:pPr>
            <w:r>
              <w:rPr>
                <w:b/>
                <w:bCs/>
                <w:sz w:val="20"/>
                <w:szCs w:val="28"/>
              </w:rPr>
              <w:t>POSITION</w:t>
            </w:r>
          </w:p>
        </w:tc>
        <w:tc>
          <w:tcPr>
            <w:tcW w:w="7541" w:type="dxa"/>
            <w:tcBorders/>
            <w:shd w:val="clear" w:color="auto" w:fill="auto"/>
            <w:vAlign w:val="center"/>
          </w:tcPr>
          <w:p>
            <w:pPr>
              <w:pStyle w:val="style4110"/>
              <w:spacing w:lineRule="auto" w:line="276"/>
              <w:rPr>
                <w:b/>
                <w:bCs/>
                <w:sz w:val="24"/>
                <w:szCs w:val="16"/>
              </w:rPr>
            </w:pPr>
            <w:r>
              <w:rPr>
                <w:b/>
                <w:bCs/>
                <w:sz w:val="22"/>
                <w:szCs w:val="14"/>
              </w:rPr>
              <w:t>Academic appointment</w:t>
            </w:r>
          </w:p>
          <w:p>
            <w:pPr>
              <w:pStyle w:val="style4110"/>
              <w:numPr>
                <w:ilvl w:val="0"/>
                <w:numId w:val="19"/>
              </w:numPr>
              <w:spacing w:lineRule="auto" w:line="276"/>
              <w:rPr>
                <w:rFonts w:ascii="Calibri" w:cs="Calibri" w:hAnsi="Calibri"/>
                <w:sz w:val="22"/>
                <w:szCs w:val="14"/>
              </w:rPr>
            </w:pPr>
            <w:r>
              <w:rPr>
                <w:rFonts w:ascii="Calibri" w:cs="Calibri" w:hAnsi="Calibri"/>
                <w:sz w:val="22"/>
                <w:szCs w:val="14"/>
              </w:rPr>
              <w:t>Assistant lecture</w:t>
            </w:r>
            <w:r>
              <w:rPr>
                <w:rFonts w:ascii="Calibri" w:cs="Calibri" w:hAnsi="Calibri"/>
                <w:sz w:val="22"/>
                <w:szCs w:val="14"/>
              </w:rPr>
              <w:t>r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 of </w:t>
            </w:r>
            <w:r>
              <w:rPr>
                <w:rFonts w:ascii="Calibri" w:cs="Calibri" w:hAnsi="Calibri"/>
                <w:sz w:val="22"/>
                <w:szCs w:val="14"/>
              </w:rPr>
              <w:t>radiation oncology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, </w:t>
            </w:r>
            <w:r>
              <w:rPr>
                <w:rFonts w:ascii="Calibri" w:cs="Calibri" w:hAnsi="Calibri"/>
                <w:sz w:val="22"/>
                <w:szCs w:val="14"/>
              </w:rPr>
              <w:t>South Egypt Cancer Institute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, </w:t>
            </w:r>
            <w:r>
              <w:rPr>
                <w:rFonts w:ascii="Calibri" w:cs="Calibri" w:hAnsi="Calibri"/>
                <w:sz w:val="22"/>
                <w:szCs w:val="14"/>
              </w:rPr>
              <w:t>AssuitUniversity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, Egypt (since </w:t>
            </w:r>
            <w:r>
              <w:rPr>
                <w:rFonts w:ascii="Calibri" w:cs="Calibri" w:hAnsi="Calibri"/>
                <w:sz w:val="22"/>
                <w:szCs w:val="14"/>
              </w:rPr>
              <w:t>July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 </w:t>
            </w:r>
            <w:r>
              <w:rPr>
                <w:rFonts w:ascii="Calibri" w:cs="Calibri" w:hAnsi="Calibri"/>
                <w:sz w:val="22"/>
                <w:szCs w:val="14"/>
              </w:rPr>
              <w:t>201</w:t>
            </w:r>
            <w:r>
              <w:rPr>
                <w:rFonts w:ascii="Calibri" w:cs="Calibri" w:hAnsi="Calibri"/>
                <w:sz w:val="22"/>
                <w:szCs w:val="14"/>
              </w:rPr>
              <w:t>9</w:t>
            </w:r>
            <w:r>
              <w:rPr>
                <w:rFonts w:ascii="Calibri" w:cs="Calibri" w:hAnsi="Calibri"/>
                <w:sz w:val="22"/>
                <w:szCs w:val="14"/>
              </w:rPr>
              <w:t>).</w:t>
            </w:r>
          </w:p>
          <w:p>
            <w:pPr>
              <w:pStyle w:val="style4110"/>
              <w:spacing w:lineRule="auto" w:line="276"/>
              <w:ind w:left="720"/>
              <w:rPr>
                <w:sz w:val="20"/>
                <w:szCs w:val="12"/>
              </w:rPr>
            </w:pPr>
          </w:p>
          <w:p>
            <w:pPr>
              <w:pStyle w:val="style4110"/>
              <w:spacing w:lineRule="auto" w:line="276"/>
              <w:rPr>
                <w:b/>
                <w:bCs/>
                <w:sz w:val="22"/>
                <w:szCs w:val="14"/>
              </w:rPr>
            </w:pPr>
            <w:r>
              <w:rPr>
                <w:b/>
                <w:bCs/>
                <w:sz w:val="22"/>
                <w:szCs w:val="14"/>
              </w:rPr>
              <w:t>Clinical appointment</w:t>
            </w:r>
          </w:p>
          <w:p>
            <w:pPr>
              <w:pStyle w:val="style4110"/>
              <w:numPr>
                <w:ilvl w:val="0"/>
                <w:numId w:val="19"/>
              </w:numPr>
              <w:spacing w:lineRule="auto" w:line="276"/>
              <w:rPr/>
            </w:pPr>
            <w:r>
              <w:rPr>
                <w:rFonts w:ascii="Calibri" w:cs="Calibri" w:hAnsi="Calibri"/>
                <w:sz w:val="22"/>
                <w:szCs w:val="14"/>
              </w:rPr>
              <w:t>Specialist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 at 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radiotherapy </w:t>
            </w:r>
            <w:r>
              <w:rPr>
                <w:rFonts w:ascii="Calibri" w:cs="Calibri" w:hAnsi="Calibri"/>
                <w:sz w:val="22"/>
                <w:szCs w:val="14"/>
              </w:rPr>
              <w:t>unit</w:t>
            </w:r>
            <w:r>
              <w:rPr>
                <w:rFonts w:ascii="Calibri" w:cs="Calibri" w:hAnsi="Calibri"/>
                <w:sz w:val="22"/>
                <w:szCs w:val="14"/>
              </w:rPr>
              <w:t>,</w:t>
            </w:r>
            <w:r>
              <w:rPr>
                <w:rFonts w:ascii="Calibri" w:cs="Calibri" w:hAnsi="Calibri"/>
                <w:sz w:val="22"/>
                <w:szCs w:val="14"/>
              </w:rPr>
              <w:t>Assuit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 university 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cancer </w:t>
            </w:r>
            <w:r>
              <w:rPr>
                <w:rFonts w:ascii="Calibri" w:cs="Calibri" w:hAnsi="Calibri"/>
                <w:sz w:val="22"/>
                <w:szCs w:val="14"/>
              </w:rPr>
              <w:t>hospital,Egypt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(since </w:t>
            </w:r>
            <w:r>
              <w:rPr>
                <w:rFonts w:ascii="Calibri" w:cs="Calibri" w:hAnsi="Calibri"/>
                <w:sz w:val="22"/>
                <w:szCs w:val="14"/>
              </w:rPr>
              <w:t>July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 </w:t>
            </w:r>
            <w:r>
              <w:rPr>
                <w:rFonts w:ascii="Calibri" w:cs="Calibri" w:hAnsi="Calibri"/>
                <w:sz w:val="22"/>
                <w:szCs w:val="14"/>
              </w:rPr>
              <w:t>201</w:t>
            </w:r>
            <w:r>
              <w:rPr>
                <w:rFonts w:ascii="Calibri" w:cs="Calibri" w:hAnsi="Calibri"/>
                <w:sz w:val="22"/>
                <w:szCs w:val="14"/>
              </w:rPr>
              <w:t>9</w:t>
            </w:r>
            <w:r>
              <w:rPr>
                <w:rFonts w:ascii="Calibri" w:cs="Calibri" w:hAnsi="Calibri"/>
                <w:sz w:val="22"/>
                <w:szCs w:val="14"/>
              </w:rPr>
              <w:t xml:space="preserve"> till now).</w:t>
            </w:r>
          </w:p>
        </w:tc>
      </w:tr>
    </w:tbl>
    <w:p>
      <w:pPr>
        <w:pStyle w:val="style4138"/>
        <w:rPr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>
        <w:trPr>
          <w:trHeight w:val="170" w:hRule="atLeast"/>
        </w:trPr>
        <w:tc>
          <w:tcPr>
            <w:tcW w:w="2835" w:type="dxa"/>
            <w:tcBorders/>
            <w:shd w:val="clear" w:color="auto" w:fill="auto"/>
          </w:tcPr>
          <w:p>
            <w:pPr>
              <w:pStyle w:val="style4107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caps w:val="false"/>
                <w:sz w:val="20"/>
                <w:szCs w:val="28"/>
              </w:rPr>
              <w:t>WORK EXPERIENCE</w:t>
            </w:r>
          </w:p>
        </w:tc>
        <w:tc>
          <w:tcPr>
            <w:tcW w:w="7540" w:type="dxa"/>
            <w:tcBorders/>
            <w:shd w:val="clear" w:color="auto" w:fill="auto"/>
            <w:vAlign w:val="bottom"/>
          </w:tcPr>
          <w:p>
            <w:pPr>
              <w:pStyle w:val="style4147"/>
              <w:rPr/>
            </w:pPr>
            <w:r>
              <w:rPr>
                <w:noProof/>
                <w:lang w:val="en-US" w:bidi="ar-SA" w:eastAsia="en-US"/>
              </w:rPr>
              <w:drawing>
                <wp:inline distT="0" distB="0" distR="0" distL="0">
                  <wp:extent cx="4789170" cy="89535"/>
                  <wp:effectExtent l="0" t="0" r="0" b="0"/>
                  <wp:docPr id="1032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789170" cy="89535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4114"/>
        <w:rPr/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>
        <w:trPr>
          <w:cantSplit/>
        </w:trPr>
        <w:tc>
          <w:tcPr>
            <w:tcW w:w="2834" w:type="dxa"/>
            <w:vMerge w:val="restart"/>
            <w:tcBorders/>
            <w:shd w:val="clear" w:color="auto" w:fill="auto"/>
          </w:tcPr>
          <w:p>
            <w:pPr>
              <w:pStyle w:val="style4125"/>
              <w:spacing w:lineRule="auto" w:line="276"/>
              <w:rPr>
                <w:rFonts w:ascii="Calibri" w:cs="Calibri" w:hAnsi="Calibri"/>
                <w:sz w:val="22"/>
                <w:szCs w:val="32"/>
              </w:rPr>
            </w:pPr>
            <w:r>
              <w:rPr>
                <w:rFonts w:ascii="Calibri" w:cs="Calibri" w:hAnsi="Calibri"/>
                <w:sz w:val="22"/>
                <w:szCs w:val="32"/>
              </w:rPr>
              <w:t xml:space="preserve">From 2017 </w:t>
            </w:r>
            <w:r>
              <w:rPr>
                <w:rFonts w:ascii="Calibri" w:cs="Calibri" w:hAnsi="Calibri"/>
                <w:sz w:val="22"/>
                <w:szCs w:val="32"/>
              </w:rPr>
              <w:t>–</w:t>
            </w:r>
            <w:r>
              <w:rPr>
                <w:rFonts w:ascii="Calibri" w:cs="Calibri" w:hAnsi="Calibri"/>
                <w:sz w:val="22"/>
                <w:szCs w:val="32"/>
              </w:rPr>
              <w:t xml:space="preserve"> 2019</w:t>
            </w:r>
          </w:p>
          <w:p>
            <w:pPr>
              <w:pStyle w:val="style4125"/>
              <w:spacing w:lineRule="auto" w:line="276"/>
              <w:rPr>
                <w:rFonts w:ascii="Calibri" w:cs="Calibri" w:hAnsi="Calibri"/>
                <w:sz w:val="22"/>
                <w:szCs w:val="32"/>
              </w:rPr>
            </w:pPr>
          </w:p>
          <w:p>
            <w:pPr>
              <w:pStyle w:val="style4125"/>
              <w:spacing w:lineRule="auto" w:line="276"/>
              <w:rPr>
                <w:rFonts w:ascii="Calibri" w:cs="Calibri" w:hAnsi="Calibri"/>
                <w:sz w:val="22"/>
                <w:szCs w:val="32"/>
              </w:rPr>
            </w:pPr>
          </w:p>
          <w:p>
            <w:pPr>
              <w:pStyle w:val="style4125"/>
              <w:spacing w:lineRule="auto" w:line="276"/>
              <w:rPr>
                <w:rFonts w:ascii="Calibri" w:cs="Calibri" w:hAnsi="Calibri"/>
                <w:sz w:val="22"/>
                <w:szCs w:val="32"/>
              </w:rPr>
            </w:pPr>
            <w:r>
              <w:rPr>
                <w:rFonts w:ascii="Calibri" w:cs="Calibri" w:hAnsi="Calibri"/>
                <w:sz w:val="22"/>
                <w:szCs w:val="32"/>
              </w:rPr>
              <w:t>From 2015</w:t>
            </w:r>
            <w:r>
              <w:rPr>
                <w:rFonts w:ascii="Calibri" w:cs="Calibri" w:hAnsi="Calibri"/>
                <w:sz w:val="22"/>
                <w:szCs w:val="32"/>
              </w:rPr>
              <w:t xml:space="preserve"> – 2017</w:t>
            </w: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4118"/>
              <w:spacing w:lineRule="auto" w:line="276"/>
              <w:rPr>
                <w:rFonts w:ascii="Calibri" w:cs="Calibri" w:hAnsi="Calibri"/>
                <w:szCs w:val="32"/>
              </w:rPr>
            </w:pPr>
            <w:r>
              <w:rPr>
                <w:rFonts w:ascii="Calibri" w:cs="Calibri" w:hAnsi="Calibri"/>
                <w:b/>
                <w:bCs/>
                <w:color w:val="3f3a38"/>
                <w:sz w:val="24"/>
                <w:szCs w:val="36"/>
              </w:rPr>
              <w:t>Demonstrator</w:t>
            </w:r>
            <w:r>
              <w:rPr>
                <w:rFonts w:ascii="Calibri" w:cs="Calibri" w:hAnsi="Calibri"/>
                <w:color w:val="3f3a38"/>
                <w:szCs w:val="32"/>
              </w:rPr>
              <w:t>, radiation oncology department, south Egypt cancer institute</w:t>
            </w:r>
            <w:r>
              <w:rPr>
                <w:rFonts w:ascii="Calibri" w:cs="Calibri" w:hAnsi="Calibri"/>
                <w:color w:val="3f3a38"/>
                <w:szCs w:val="32"/>
              </w:rPr>
              <w:t xml:space="preserve">, </w:t>
            </w:r>
            <w:r>
              <w:rPr>
                <w:rFonts w:ascii="Calibri" w:cs="Calibri" w:hAnsi="Calibri"/>
                <w:color w:val="3f3a38"/>
                <w:szCs w:val="32"/>
              </w:rPr>
              <w:t>Assuit</w:t>
            </w:r>
            <w:r>
              <w:rPr>
                <w:rFonts w:ascii="Calibri" w:cs="Calibri" w:hAnsi="Calibri"/>
                <w:color w:val="3f3a38"/>
                <w:szCs w:val="32"/>
              </w:rPr>
              <w:t xml:space="preserve"> University, Egypt.</w:t>
            </w:r>
          </w:p>
        </w:tc>
      </w:tr>
      <w:tr>
        <w:tblPrEx/>
        <w:trPr>
          <w:cantSplit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4125"/>
              <w:spacing w:lineRule="auto" w:line="276"/>
              <w:rPr>
                <w:rFonts w:ascii="Calibri" w:cs="Calibri" w:hAnsi="Calibri"/>
                <w:sz w:val="22"/>
                <w:szCs w:val="32"/>
              </w:rPr>
            </w:pP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4118"/>
              <w:spacing w:lineRule="auto" w:line="276"/>
              <w:rPr>
                <w:rFonts w:ascii="Calibri" w:cs="Calibri" w:hAnsi="Calibri"/>
                <w:color w:val="3f3a38"/>
                <w:szCs w:val="32"/>
              </w:rPr>
            </w:pPr>
          </w:p>
        </w:tc>
      </w:tr>
      <w:tr>
        <w:tblPrEx/>
        <w:trPr>
          <w:cantSplit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Calibri" w:cs="Calibri" w:hAnsi="Calibri"/>
                <w:sz w:val="22"/>
                <w:szCs w:val="32"/>
              </w:rPr>
            </w:pPr>
          </w:p>
        </w:tc>
        <w:tc>
          <w:tcPr>
            <w:tcW w:w="7541" w:type="dxa"/>
            <w:tcBorders/>
            <w:shd w:val="clear" w:color="auto" w:fill="auto"/>
          </w:tcPr>
          <w:p>
            <w:pPr>
              <w:pStyle w:val="style4119"/>
              <w:spacing w:lineRule="auto" w:line="276"/>
              <w:rPr>
                <w:rFonts w:ascii="Calibri" w:cs="Calibri" w:hAnsi="Calibri"/>
                <w:sz w:val="22"/>
                <w:szCs w:val="32"/>
              </w:rPr>
            </w:pPr>
            <w:r>
              <w:rPr>
                <w:rFonts w:ascii="Calibri" w:cs="Calibri" w:hAnsi="Calibri"/>
                <w:b/>
                <w:bCs/>
                <w:sz w:val="24"/>
                <w:szCs w:val="36"/>
              </w:rPr>
              <w:t>Resident</w:t>
            </w:r>
            <w:r>
              <w:rPr>
                <w:rFonts w:ascii="Calibri" w:cs="Calibri" w:hAnsi="Calibri"/>
                <w:sz w:val="22"/>
                <w:szCs w:val="32"/>
              </w:rPr>
              <w:t xml:space="preserve">, radiation oncology department, south Egypt cancer institute, </w:t>
            </w:r>
            <w:r>
              <w:rPr>
                <w:rFonts w:ascii="Calibri" w:cs="Calibri" w:hAnsi="Calibri"/>
                <w:sz w:val="22"/>
                <w:szCs w:val="32"/>
              </w:rPr>
              <w:t>Assuit</w:t>
            </w:r>
            <w:r>
              <w:rPr>
                <w:rFonts w:ascii="Calibri" w:cs="Calibri" w:hAnsi="Calibri"/>
                <w:sz w:val="22"/>
                <w:szCs w:val="32"/>
              </w:rPr>
              <w:t xml:space="preserve"> University, Egypt.</w:t>
            </w:r>
          </w:p>
        </w:tc>
      </w:tr>
    </w:tbl>
    <w:p>
      <w:pPr>
        <w:pStyle w:val="style4138"/>
        <w:rPr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>
        <w:trPr>
          <w:trHeight w:val="170" w:hRule="atLeast"/>
        </w:trPr>
        <w:tc>
          <w:tcPr>
            <w:tcW w:w="2835" w:type="dxa"/>
            <w:tcBorders/>
            <w:shd w:val="clear" w:color="auto" w:fill="auto"/>
          </w:tcPr>
          <w:p>
            <w:pPr>
              <w:pStyle w:val="style4107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caps w:val="false"/>
                <w:sz w:val="20"/>
                <w:szCs w:val="28"/>
              </w:rPr>
              <w:t>EDUCATION AND TRAINING</w:t>
            </w:r>
          </w:p>
        </w:tc>
        <w:tc>
          <w:tcPr>
            <w:tcW w:w="7540" w:type="dxa"/>
            <w:tcBorders/>
            <w:shd w:val="clear" w:color="auto" w:fill="auto"/>
            <w:vAlign w:val="bottom"/>
          </w:tcPr>
          <w:p>
            <w:pPr>
              <w:pStyle w:val="style4147"/>
              <w:rPr/>
            </w:pPr>
            <w:r>
              <w:rPr>
                <w:noProof/>
                <w:lang w:val="en-US" w:bidi="ar-SA" w:eastAsia="en-US"/>
              </w:rPr>
              <w:drawing>
                <wp:inline distT="0" distB="0" distR="0" distL="0">
                  <wp:extent cx="4789170" cy="89535"/>
                  <wp:effectExtent l="0" t="0" r="0" b="0"/>
                  <wp:docPr id="1033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789170" cy="89535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4114"/>
        <w:rPr/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>
        <w:trPr>
          <w:cantSplit/>
        </w:trPr>
        <w:tc>
          <w:tcPr>
            <w:tcW w:w="2834" w:type="dxa"/>
            <w:vMerge w:val="restart"/>
            <w:tcBorders/>
            <w:shd w:val="clear" w:color="auto" w:fill="auto"/>
          </w:tcPr>
          <w:p>
            <w:pPr>
              <w:pStyle w:val="style4125"/>
              <w:spacing w:lineRule="auto" w:line="276"/>
              <w:rPr>
                <w:rFonts w:ascii="Calibri" w:cs="Calibri" w:hAnsi="Calibri"/>
                <w:sz w:val="22"/>
                <w:szCs w:val="32"/>
              </w:rPr>
            </w:pPr>
            <w:r>
              <w:rPr>
                <w:rFonts w:ascii="Calibri" w:cs="Calibri" w:hAnsi="Calibri"/>
                <w:sz w:val="22"/>
                <w:szCs w:val="32"/>
              </w:rPr>
              <w:t>From 2015 – 2019</w:t>
            </w:r>
          </w:p>
          <w:p>
            <w:pPr>
              <w:pStyle w:val="style4125"/>
              <w:spacing w:lineRule="auto" w:line="276"/>
              <w:rPr>
                <w:rFonts w:ascii="Calibri" w:cs="Calibri" w:hAnsi="Calibri"/>
                <w:sz w:val="22"/>
                <w:szCs w:val="32"/>
              </w:rPr>
            </w:pPr>
          </w:p>
          <w:p>
            <w:pPr>
              <w:pStyle w:val="style4125"/>
              <w:spacing w:lineRule="auto" w:line="276"/>
              <w:rPr>
                <w:rFonts w:ascii="Calibri" w:cs="Calibri" w:hAnsi="Calibri"/>
                <w:sz w:val="22"/>
                <w:szCs w:val="32"/>
              </w:rPr>
            </w:pPr>
          </w:p>
          <w:p>
            <w:pPr>
              <w:pStyle w:val="style4125"/>
              <w:spacing w:lineRule="auto" w:line="276"/>
              <w:jc w:val="left"/>
              <w:rPr>
                <w:rFonts w:ascii="Calibri" w:cs="Calibri" w:hAnsi="Calibri"/>
                <w:sz w:val="22"/>
                <w:szCs w:val="32"/>
              </w:rPr>
            </w:pPr>
          </w:p>
          <w:p>
            <w:pPr>
              <w:pStyle w:val="style4125"/>
              <w:spacing w:lineRule="auto" w:line="276"/>
              <w:jc w:val="left"/>
              <w:rPr>
                <w:rFonts w:ascii="Calibri" w:cs="Calibri" w:hAnsi="Calibri"/>
                <w:sz w:val="22"/>
                <w:szCs w:val="32"/>
              </w:rPr>
            </w:pPr>
          </w:p>
          <w:p>
            <w:pPr>
              <w:pStyle w:val="style4125"/>
              <w:spacing w:lineRule="auto" w:line="276"/>
              <w:rPr>
                <w:rFonts w:ascii="Calibri" w:cs="Calibri" w:hAnsi="Calibri"/>
                <w:sz w:val="22"/>
                <w:szCs w:val="32"/>
                <w:lang w:val="en-US"/>
              </w:rPr>
            </w:pPr>
            <w:r>
              <w:rPr>
                <w:rFonts w:ascii="Calibri" w:cs="Calibri" w:hAnsi="Calibri"/>
                <w:sz w:val="22"/>
                <w:szCs w:val="32"/>
              </w:rPr>
              <w:t>From 2007 – 2013</w:t>
            </w:r>
          </w:p>
        </w:tc>
        <w:tc>
          <w:tcPr>
            <w:tcW w:w="6237" w:type="dxa"/>
            <w:tcBorders/>
            <w:shd w:val="clear" w:color="auto" w:fill="auto"/>
          </w:tcPr>
          <w:p>
            <w:pPr>
              <w:pStyle w:val="style4118"/>
              <w:spacing w:lineRule="auto" w:line="276"/>
              <w:jc w:val="both"/>
              <w:rPr>
                <w:rFonts w:ascii="Calibri" w:cs="Calibri" w:eastAsia="ArialMT" w:hAnsi="Calibri"/>
                <w:b/>
                <w:bCs/>
                <w:color w:val="3f3a38"/>
                <w:sz w:val="24"/>
                <w:szCs w:val="36"/>
              </w:rPr>
            </w:pPr>
            <w:r>
              <w:rPr>
                <w:rFonts w:ascii="Calibri" w:cs="Calibri" w:eastAsia="ArialMT" w:hAnsi="Calibri"/>
                <w:b/>
                <w:bCs/>
                <w:color w:val="3f3a38"/>
                <w:sz w:val="24"/>
                <w:szCs w:val="36"/>
              </w:rPr>
              <w:t>Master of science (M.Sc.) in Clinical Oncology and Nuclear Medicine</w:t>
            </w:r>
          </w:p>
          <w:p>
            <w:pPr>
              <w:pStyle w:val="style4118"/>
              <w:spacing w:lineRule="auto" w:line="276"/>
              <w:jc w:val="both"/>
              <w:rPr>
                <w:rFonts w:ascii="Calibri" w:cs="Calibri" w:eastAsia="ArialMT" w:hAnsi="Calibri"/>
                <w:color w:val="3f3a38"/>
                <w:szCs w:val="32"/>
              </w:rPr>
            </w:pPr>
            <w:r>
              <w:rPr>
                <w:rFonts w:ascii="Calibri" w:cs="Calibri" w:eastAsia="ArialMT" w:hAnsi="Calibri"/>
                <w:color w:val="3f3a38"/>
                <w:szCs w:val="32"/>
              </w:rPr>
              <w:t xml:space="preserve">Faculty of Medicine - </w:t>
            </w:r>
            <w:r>
              <w:rPr>
                <w:rFonts w:ascii="Calibri" w:cs="Calibri" w:eastAsia="ArialMT" w:hAnsi="Calibri"/>
                <w:color w:val="3f3a38"/>
                <w:szCs w:val="32"/>
              </w:rPr>
              <w:t>Assiut</w:t>
            </w:r>
            <w:r>
              <w:rPr>
                <w:rFonts w:ascii="Calibri" w:cs="Calibri" w:eastAsia="ArialMT" w:hAnsi="Calibri"/>
                <w:color w:val="3f3a38"/>
                <w:szCs w:val="32"/>
              </w:rPr>
              <w:t xml:space="preserve"> University, Egypt</w:t>
            </w:r>
          </w:p>
          <w:p>
            <w:pPr>
              <w:pStyle w:val="style4118"/>
              <w:spacing w:lineRule="auto" w:line="276"/>
              <w:jc w:val="both"/>
              <w:rPr>
                <w:rFonts w:ascii="Calibri" w:cs="Calibri" w:eastAsia="ArialMT" w:hAnsi="Calibri"/>
                <w:color w:val="3f3a38"/>
                <w:szCs w:val="32"/>
              </w:rPr>
            </w:pPr>
            <w:r>
              <w:rPr>
                <w:rFonts w:ascii="Calibri" w:cs="Calibri" w:eastAsia="ArialMT" w:hAnsi="Calibri"/>
                <w:b/>
                <w:bCs/>
                <w:i/>
                <w:iCs/>
                <w:color w:val="3f3a38"/>
                <w:szCs w:val="32"/>
              </w:rPr>
              <w:t>Thesis:</w:t>
            </w:r>
            <w:r>
              <w:rPr>
                <w:rFonts w:ascii="Calibri" w:cs="Calibri" w:eastAsia="ArialMT" w:hAnsi="Calibri"/>
                <w:color w:val="3f3a38"/>
                <w:szCs w:val="32"/>
              </w:rPr>
              <w:t xml:space="preserve"> “</w:t>
            </w:r>
            <w:r>
              <w:rPr>
                <w:rFonts w:ascii="Calibri" w:cs="Calibri" w:eastAsia="ArialMT" w:hAnsi="Calibri"/>
                <w:color w:val="3f3a38"/>
                <w:szCs w:val="32"/>
                <w:lang w:val="en-US"/>
              </w:rPr>
              <w:t>Cardiac</w:t>
            </w:r>
            <w:r>
              <w:rPr>
                <w:rFonts w:ascii="Calibri" w:cs="Calibri" w:eastAsia="ArialMT" w:hAnsi="Calibri"/>
                <w:color w:val="3f3a38"/>
                <w:szCs w:val="32"/>
              </w:rPr>
              <w:t xml:space="preserve"> </w:t>
            </w:r>
            <w:r>
              <w:rPr>
                <w:rFonts w:ascii="Calibri" w:cs="Calibri" w:eastAsia="ArialMT" w:hAnsi="Calibri"/>
                <w:color w:val="3f3a38"/>
                <w:szCs w:val="32"/>
                <w:lang w:val="en-US"/>
              </w:rPr>
              <w:t xml:space="preserve">toxicity of hypofractionated radiotherapy in left breast cancer </w:t>
            </w:r>
            <w:r>
              <w:rPr>
                <w:rFonts w:ascii="Calibri" w:cs="Calibri" w:eastAsia="ArialMT" w:hAnsi="Calibri"/>
                <w:color w:val="3f3a38"/>
                <w:szCs w:val="32"/>
              </w:rPr>
              <w:t>at South Egypt Cancer Institute (Retrospective Study)”</w:t>
            </w:r>
          </w:p>
        </w:tc>
        <w:tc>
          <w:tcPr>
            <w:tcW w:w="1305" w:type="dxa"/>
            <w:tcBorders/>
            <w:shd w:val="clear" w:color="auto" w:fill="auto"/>
          </w:tcPr>
          <w:p>
            <w:pPr>
              <w:pStyle w:val="style4111"/>
              <w:spacing w:lineRule="auto" w:line="276"/>
              <w:jc w:val="both"/>
              <w:rPr>
                <w:rFonts w:ascii="Calibri" w:cs="Calibri" w:hAnsi="Calibri"/>
                <w:sz w:val="22"/>
                <w:szCs w:val="32"/>
              </w:rPr>
            </w:pPr>
          </w:p>
        </w:tc>
      </w:tr>
      <w:tr>
        <w:tblPrEx/>
        <w:trPr>
          <w:cantSplit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rFonts w:ascii="Calibri" w:cs="Calibri" w:hAnsi="Calibri"/>
                <w:sz w:val="22"/>
                <w:szCs w:val="32"/>
              </w:rPr>
            </w:pPr>
          </w:p>
        </w:tc>
        <w:tc>
          <w:tcPr>
            <w:tcW w:w="7542" w:type="dxa"/>
            <w:gridSpan w:val="2"/>
            <w:tcBorders/>
            <w:shd w:val="clear" w:color="auto" w:fill="auto"/>
          </w:tcPr>
          <w:p>
            <w:pPr>
              <w:pStyle w:val="style4121"/>
              <w:spacing w:lineRule="auto" w:line="276"/>
              <w:jc w:val="both"/>
              <w:rPr>
                <w:rFonts w:ascii="Calibri" w:cs="Calibri" w:hAnsi="Calibri"/>
                <w:b/>
                <w:bCs/>
                <w:sz w:val="8"/>
                <w:szCs w:val="14"/>
              </w:rPr>
            </w:pPr>
          </w:p>
          <w:p>
            <w:pPr>
              <w:pStyle w:val="style4121"/>
              <w:spacing w:lineRule="auto" w:line="276"/>
              <w:jc w:val="both"/>
              <w:rPr>
                <w:rFonts w:ascii="Calibri" w:cs="Calibri" w:hAnsi="Calibri"/>
                <w:b/>
                <w:bCs/>
                <w:sz w:val="24"/>
                <w:szCs w:val="36"/>
              </w:rPr>
            </w:pPr>
            <w:r>
              <w:rPr>
                <w:rFonts w:ascii="Calibri" w:cs="Calibri" w:hAnsi="Calibri"/>
                <w:b/>
                <w:bCs/>
                <w:sz w:val="24"/>
                <w:szCs w:val="36"/>
              </w:rPr>
              <w:t>Bachelor of Medicine, Bachelor of Surgery (M.B.B.ch)</w:t>
            </w:r>
          </w:p>
          <w:p>
            <w:pPr>
              <w:pStyle w:val="style4121"/>
              <w:spacing w:lineRule="auto" w:line="276"/>
              <w:jc w:val="both"/>
              <w:rPr>
                <w:rFonts w:ascii="Calibri" w:cs="Calibri" w:hAnsi="Calibri"/>
                <w:sz w:val="22"/>
                <w:szCs w:val="32"/>
              </w:rPr>
            </w:pPr>
            <w:r>
              <w:rPr>
                <w:rFonts w:ascii="Calibri" w:cs="Calibri" w:hAnsi="Calibri"/>
                <w:sz w:val="22"/>
                <w:szCs w:val="32"/>
              </w:rPr>
              <w:t xml:space="preserve">Faculty of Medicine - </w:t>
            </w:r>
            <w:r>
              <w:rPr>
                <w:rFonts w:ascii="Calibri" w:cs="Calibri" w:hAnsi="Calibri"/>
                <w:sz w:val="22"/>
                <w:szCs w:val="32"/>
              </w:rPr>
              <w:t>Assiut</w:t>
            </w:r>
            <w:r>
              <w:rPr>
                <w:rFonts w:ascii="Calibri" w:cs="Calibri" w:hAnsi="Calibri"/>
                <w:sz w:val="22"/>
                <w:szCs w:val="32"/>
              </w:rPr>
              <w:t xml:space="preserve"> University, Egypt</w:t>
            </w:r>
          </w:p>
          <w:p>
            <w:pPr>
              <w:pStyle w:val="style4121"/>
              <w:spacing w:lineRule="auto" w:line="276"/>
              <w:jc w:val="both"/>
              <w:rPr>
                <w:rFonts w:ascii="Calibri" w:cs="Calibri" w:hAnsi="Calibri"/>
                <w:b/>
                <w:bCs/>
                <w:sz w:val="22"/>
                <w:szCs w:val="32"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32"/>
              </w:rPr>
              <w:t xml:space="preserve">Excellent degree with </w:t>
            </w:r>
            <w:r>
              <w:rPr>
                <w:rFonts w:ascii="Calibri" w:cs="Calibri" w:hAnsi="Calibri"/>
                <w:b/>
                <w:bCs/>
                <w:sz w:val="22"/>
                <w:szCs w:val="32"/>
              </w:rPr>
              <w:t>Honor</w:t>
            </w:r>
          </w:p>
        </w:tc>
      </w:tr>
    </w:tbl>
    <w:p>
      <w:pPr>
        <w:pStyle w:val="style4138"/>
        <w:rPr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>
        <w:trPr>
          <w:trHeight w:val="170" w:hRule="atLeast"/>
        </w:trPr>
        <w:tc>
          <w:tcPr>
            <w:tcW w:w="2835" w:type="dxa"/>
            <w:tcBorders/>
            <w:shd w:val="clear" w:color="auto" w:fill="auto"/>
          </w:tcPr>
          <w:p>
            <w:pPr>
              <w:pStyle w:val="style4107"/>
              <w:rPr>
                <w:b/>
                <w:bCs/>
                <w:caps w:val="false"/>
                <w:sz w:val="20"/>
                <w:szCs w:val="28"/>
              </w:rPr>
            </w:pPr>
          </w:p>
          <w:p>
            <w:pPr>
              <w:pStyle w:val="style4107"/>
              <w:jc w:val="left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caps w:val="false"/>
                <w:sz w:val="20"/>
                <w:szCs w:val="28"/>
              </w:rPr>
              <w:t>PERSONAL SKILLS</w:t>
            </w:r>
          </w:p>
        </w:tc>
        <w:tc>
          <w:tcPr>
            <w:tcW w:w="7540" w:type="dxa"/>
            <w:tcBorders/>
            <w:shd w:val="clear" w:color="auto" w:fill="auto"/>
            <w:vAlign w:val="bottom"/>
          </w:tcPr>
          <w:p>
            <w:pPr>
              <w:pStyle w:val="style4147"/>
              <w:rPr/>
            </w:pPr>
          </w:p>
        </w:tc>
      </w:tr>
    </w:tbl>
    <w:p>
      <w:pPr>
        <w:pStyle w:val="style4114"/>
        <w:rPr/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514"/>
        <w:gridCol w:w="2514"/>
        <w:gridCol w:w="2514"/>
      </w:tblGrid>
      <w:tr>
        <w:trPr>
          <w:cantSplit/>
          <w:trHeight w:val="255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31"/>
              <w:jc w:val="lef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     </w:t>
            </w:r>
            <w:r>
              <w:rPr>
                <w:sz w:val="20"/>
                <w:szCs w:val="28"/>
              </w:rPr>
              <w:t>Mother tongue</w:t>
            </w:r>
          </w:p>
        </w:tc>
        <w:tc>
          <w:tcPr>
            <w:tcW w:w="7542" w:type="dxa"/>
            <w:gridSpan w:val="3"/>
            <w:tcBorders/>
            <w:shd w:val="clear" w:color="auto" w:fill="auto"/>
          </w:tcPr>
          <w:p>
            <w:pPr>
              <w:pStyle w:val="style412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Arabic</w:t>
            </w:r>
          </w:p>
        </w:tc>
      </w:tr>
      <w:tr>
        <w:tblPrEx/>
        <w:trPr>
          <w:cantSplit/>
          <w:trHeight w:val="340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07"/>
              <w:rPr/>
            </w:pPr>
          </w:p>
          <w:p>
            <w:pPr>
              <w:pStyle w:val="style4107"/>
              <w:rPr/>
            </w:pPr>
          </w:p>
          <w:p>
            <w:pPr>
              <w:pStyle w:val="style4107"/>
              <w:rPr/>
            </w:pPr>
          </w:p>
          <w:p>
            <w:pPr>
              <w:pStyle w:val="style4107"/>
              <w:rPr/>
            </w:pPr>
          </w:p>
          <w:p>
            <w:pPr>
              <w:pStyle w:val="style4107"/>
              <w:rPr/>
            </w:pPr>
          </w:p>
        </w:tc>
        <w:tc>
          <w:tcPr>
            <w:tcW w:w="7542" w:type="dxa"/>
            <w:gridSpan w:val="3"/>
            <w:tcBorders/>
            <w:shd w:val="clear" w:color="auto" w:fill="auto"/>
          </w:tcPr>
          <w:p>
            <w:pPr>
              <w:pStyle w:val="style4109"/>
              <w:rPr/>
            </w:pPr>
          </w:p>
        </w:tc>
      </w:tr>
      <w:tr>
        <w:tblPrEx/>
        <w:trPr>
          <w:cantSplit/>
          <w:trHeight w:val="340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31"/>
              <w:jc w:val="left"/>
              <w:rPr/>
            </w:pPr>
          </w:p>
        </w:tc>
        <w:tc>
          <w:tcPr>
            <w:tcW w:w="7542" w:type="dxa"/>
            <w:gridSpan w:val="3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>
            <w:pPr>
              <w:pStyle w:val="style4132"/>
              <w:rPr>
                <w:sz w:val="16"/>
                <w:szCs w:val="28"/>
              </w:rPr>
            </w:pPr>
            <w:r>
              <w:rPr>
                <w:caps w:val="false"/>
                <w:sz w:val="16"/>
                <w:szCs w:val="28"/>
              </w:rPr>
              <w:t>SELF-ASSESSMENT</w:t>
            </w:r>
          </w:p>
        </w:tc>
      </w:tr>
      <w:tr>
        <w:tblPrEx/>
        <w:trPr>
          <w:cantSplit/>
          <w:trHeight w:val="340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31"/>
              <w:rPr>
                <w:caps/>
              </w:rPr>
            </w:pPr>
            <w:r>
              <w:rPr>
                <w:sz w:val="20"/>
                <w:szCs w:val="28"/>
              </w:rPr>
              <w:t>Other language</w:t>
            </w:r>
          </w:p>
        </w:tc>
        <w:tc>
          <w:tcPr>
            <w:tcW w:w="2514" w:type="dxa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>
            <w:pPr>
              <w:pStyle w:val="style4132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UNDERSTANDING </w:t>
            </w:r>
          </w:p>
        </w:tc>
        <w:tc>
          <w:tcPr>
            <w:tcW w:w="25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>
            <w:pPr>
              <w:pStyle w:val="style4132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SPEAKING </w:t>
            </w:r>
          </w:p>
        </w:tc>
        <w:tc>
          <w:tcPr>
            <w:tcW w:w="25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>
            <w:pPr>
              <w:pStyle w:val="style4132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WRITING </w:t>
            </w:r>
          </w:p>
        </w:tc>
      </w:tr>
      <w:tr>
        <w:tblPrEx/>
        <w:trPr>
          <w:cantSplit/>
          <w:trHeight w:val="283" w:hRule="atLeast"/>
        </w:trPr>
        <w:tc>
          <w:tcPr>
            <w:tcW w:w="2834" w:type="dxa"/>
            <w:tcBorders/>
            <w:shd w:val="clear" w:color="auto" w:fill="auto"/>
            <w:vAlign w:val="center"/>
          </w:tcPr>
          <w:p>
            <w:pPr>
              <w:pStyle w:val="style4140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5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>
            <w:pPr>
              <w:pStyle w:val="style4134"/>
              <w:rPr>
                <w:caps w:val="false"/>
                <w:szCs w:val="32"/>
              </w:rPr>
            </w:pPr>
            <w:r>
              <w:rPr>
                <w:caps w:val="false"/>
                <w:szCs w:val="32"/>
              </w:rPr>
              <w:t>Excellent</w:t>
            </w:r>
          </w:p>
        </w:tc>
        <w:tc>
          <w:tcPr>
            <w:tcW w:w="25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>
            <w:pPr>
              <w:pStyle w:val="style4134"/>
              <w:rPr>
                <w:caps w:val="false"/>
                <w:szCs w:val="32"/>
              </w:rPr>
            </w:pPr>
            <w:r>
              <w:rPr>
                <w:caps w:val="false"/>
                <w:szCs w:val="32"/>
              </w:rPr>
              <w:t>Good</w:t>
            </w:r>
          </w:p>
        </w:tc>
        <w:tc>
          <w:tcPr>
            <w:tcW w:w="25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>
            <w:pPr>
              <w:pStyle w:val="style4134"/>
              <w:rPr>
                <w:szCs w:val="32"/>
              </w:rPr>
            </w:pPr>
            <w:r>
              <w:rPr>
                <w:caps w:val="false"/>
                <w:szCs w:val="32"/>
              </w:rPr>
              <w:t>Excellent</w:t>
            </w:r>
          </w:p>
        </w:tc>
      </w:tr>
    </w:tbl>
    <w:p>
      <w:pPr>
        <w:pStyle w:val="style0"/>
        <w:rPr/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>
        <w:trPr>
          <w:cantSplit/>
          <w:trHeight w:val="170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31"/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Communication skills</w:t>
            </w: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0"/>
              <w:widowControl/>
              <w:suppressAutoHyphens w:val="false"/>
              <w:spacing w:lineRule="auto" w:line="276"/>
              <w:rPr>
                <w:rFonts w:ascii="Times New Roman" w:cs="Times New Roman" w:eastAsia="Times New Roman" w:hAnsi="Times New Roman"/>
                <w:color w:val="auto"/>
                <w:spacing w:val="0"/>
                <w:kern w:val="0"/>
                <w:sz w:val="28"/>
                <w:szCs w:val="28"/>
                <w:lang w:bidi="ar-SA" w:eastAsia="en-US"/>
              </w:rPr>
            </w:pPr>
            <w:r>
              <w:rPr>
                <w:rFonts w:cs="ArialMT" w:eastAsia="ArialMT"/>
                <w:sz w:val="20"/>
                <w:szCs w:val="12"/>
              </w:rPr>
              <w:t>Good communication skills as physician-physician (team work), or physician-patient (managing, counselling) communication skill.</w:t>
            </w:r>
          </w:p>
        </w:tc>
      </w:tr>
    </w:tbl>
    <w:p>
      <w:pPr>
        <w:pStyle w:val="style4138"/>
        <w:spacing w:lineRule="auto" w:line="276"/>
        <w:rPr>
          <w:sz w:val="18"/>
          <w:szCs w:val="28"/>
        </w:rPr>
      </w:pPr>
    </w:p>
    <w:tbl>
      <w:tblPr>
        <w:tblpPr w:leftFromText="0" w:rightFromText="0" w:topFromText="6" w:bottomFromText="170" w:vertAnchor="text" w:tblpX="-284" w:tblpY="6"/>
        <w:tblW w:w="10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7542"/>
      </w:tblGrid>
      <w:tr>
        <w:trPr>
          <w:cantSplit/>
          <w:trHeight w:val="170" w:hRule="atLeast"/>
        </w:trPr>
        <w:tc>
          <w:tcPr>
            <w:tcW w:w="3118" w:type="dxa"/>
            <w:tcBorders/>
            <w:shd w:val="clear" w:color="auto" w:fill="auto"/>
          </w:tcPr>
          <w:p>
            <w:pPr>
              <w:pStyle w:val="style4131"/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Organisational / managerial skills</w:t>
            </w: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20"/>
              <w:spacing w:lineRule="auto" w:line="276"/>
              <w:rPr>
                <w:rFonts w:cs="ArialMT" w:eastAsia="ArialMT"/>
                <w:b/>
                <w:bCs/>
                <w:sz w:val="22"/>
                <w:szCs w:val="14"/>
              </w:rPr>
            </w:pPr>
            <w:r>
              <w:rPr>
                <w:rFonts w:cs="ArialMT" w:eastAsia="ArialMT"/>
                <w:b/>
                <w:bCs/>
                <w:sz w:val="22"/>
                <w:szCs w:val="14"/>
              </w:rPr>
              <w:t>Actively involved in academic and clinical teaching programs in radiation oncology</w:t>
            </w:r>
            <w:r>
              <w:rPr>
                <w:rFonts w:cs="ArialMT" w:eastAsia="ArialMT"/>
                <w:b/>
                <w:bCs/>
                <w:sz w:val="22"/>
                <w:szCs w:val="14"/>
              </w:rPr>
              <w:t xml:space="preserve"> </w:t>
            </w:r>
            <w:r>
              <w:rPr>
                <w:rFonts w:cs="ArialMT" w:eastAsia="ArialMT"/>
                <w:b/>
                <w:bCs/>
                <w:sz w:val="22"/>
                <w:szCs w:val="14"/>
              </w:rPr>
              <w:t>department, South Egypt Cancer Institute:</w:t>
            </w:r>
          </w:p>
          <w:p>
            <w:pPr>
              <w:pStyle w:val="style4120"/>
              <w:spacing w:lineRule="auto" w:line="276"/>
              <w:rPr>
                <w:rFonts w:cs="ArialMT" w:eastAsia="ArialMT"/>
                <w:b/>
                <w:bCs/>
                <w:sz w:val="22"/>
                <w:szCs w:val="14"/>
              </w:rPr>
            </w:pPr>
          </w:p>
          <w:p>
            <w:pPr>
              <w:pStyle w:val="style4120"/>
              <w:numPr>
                <w:ilvl w:val="0"/>
                <w:numId w:val="7"/>
              </w:numPr>
              <w:spacing w:lineRule="auto" w:line="276"/>
              <w:ind w:left="426" w:hanging="294"/>
              <w:rPr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For junior residents, since 2017;</w:t>
            </w:r>
            <w:r>
              <w:rPr>
                <w:sz w:val="20"/>
                <w:szCs w:val="28"/>
              </w:rPr>
              <w:t xml:space="preserve"> C</w:t>
            </w:r>
            <w:r>
              <w:rPr>
                <w:sz w:val="20"/>
                <w:szCs w:val="28"/>
              </w:rPr>
              <w:t>linical training to gain skills in management of different clinical scenarios in</w:t>
            </w:r>
            <w:r>
              <w:rPr>
                <w:sz w:val="20"/>
                <w:szCs w:val="28"/>
              </w:rPr>
              <w:t xml:space="preserve"> radiotherapy unit, in-patients ward and out-patients clinics</w:t>
            </w:r>
            <w:r>
              <w:rPr>
                <w:sz w:val="20"/>
                <w:szCs w:val="28"/>
              </w:rPr>
              <w:t xml:space="preserve">. </w:t>
            </w:r>
            <w:r>
              <w:rPr>
                <w:sz w:val="20"/>
                <w:szCs w:val="28"/>
              </w:rPr>
              <w:t xml:space="preserve">Academic teaching to gain knowledge in decision making in oncological cases and palliative care. </w:t>
            </w:r>
            <w:r>
              <w:rPr>
                <w:sz w:val="20"/>
                <w:szCs w:val="28"/>
              </w:rPr>
              <w:t>And Responsible for the night shift management</w:t>
            </w:r>
            <w:r>
              <w:rPr>
                <w:sz w:val="20"/>
                <w:szCs w:val="28"/>
              </w:rPr>
              <w:t>, with team of 2 specialists and 4 residents.</w:t>
            </w:r>
          </w:p>
          <w:p>
            <w:pPr>
              <w:pStyle w:val="style4120"/>
              <w:spacing w:lineRule="auto" w:line="276"/>
              <w:ind w:left="426" w:hanging="294"/>
              <w:rPr>
                <w:sz w:val="20"/>
                <w:szCs w:val="28"/>
              </w:rPr>
            </w:pPr>
          </w:p>
          <w:p>
            <w:pPr>
              <w:pStyle w:val="style4120"/>
              <w:numPr>
                <w:ilvl w:val="0"/>
                <w:numId w:val="7"/>
              </w:numPr>
              <w:spacing w:lineRule="auto" w:line="276"/>
              <w:ind w:left="426" w:hanging="294"/>
              <w:rPr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For</w:t>
            </w:r>
            <w:r>
              <w:rPr>
                <w:b/>
                <w:bCs/>
                <w:sz w:val="20"/>
                <w:szCs w:val="28"/>
              </w:rPr>
              <w:t xml:space="preserve"> house officers</w:t>
            </w:r>
            <w:r>
              <w:rPr>
                <w:b/>
                <w:bCs/>
                <w:sz w:val="20"/>
                <w:szCs w:val="28"/>
              </w:rPr>
              <w:t>, since March 2015;</w:t>
            </w:r>
            <w:r>
              <w:rPr>
                <w:sz w:val="20"/>
                <w:szCs w:val="28"/>
              </w:rPr>
              <w:t xml:space="preserve"> lectures and discussions about cancer screening and diagnosis in primary health care facilities.</w:t>
            </w:r>
          </w:p>
        </w:tc>
      </w:tr>
    </w:tbl>
    <w:p>
      <w:pPr>
        <w:pStyle w:val="style4138"/>
        <w:rPr/>
      </w:pPr>
    </w:p>
    <w:p>
      <w:pPr>
        <w:pStyle w:val="style4138"/>
        <w:rPr/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419"/>
        <w:gridCol w:w="1701"/>
        <w:gridCol w:w="1421"/>
        <w:gridCol w:w="1500"/>
        <w:gridCol w:w="1501"/>
      </w:tblGrid>
      <w:tr>
        <w:trPr>
          <w:trHeight w:val="340" w:hRule="atLeast"/>
        </w:trPr>
        <w:tc>
          <w:tcPr>
            <w:tcW w:w="2834" w:type="dxa"/>
            <w:vMerge w:val="restart"/>
            <w:tcBorders/>
            <w:shd w:val="clear" w:color="auto" w:fill="auto"/>
          </w:tcPr>
          <w:p>
            <w:pPr>
              <w:pStyle w:val="style4131"/>
              <w:rPr/>
            </w:pPr>
            <w:r>
              <w:rPr>
                <w:sz w:val="20"/>
                <w:szCs w:val="28"/>
              </w:rPr>
              <w:t xml:space="preserve">Digital </w:t>
            </w:r>
            <w:r>
              <w:rPr>
                <w:sz w:val="20"/>
                <w:szCs w:val="28"/>
              </w:rPr>
              <w:t>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>
            <w:pPr>
              <w:pStyle w:val="style4132"/>
              <w:rPr/>
            </w:pPr>
            <w:r>
              <w:rPr>
                <w:caps w:val="false"/>
                <w:sz w:val="16"/>
                <w:szCs w:val="28"/>
              </w:rPr>
              <w:t>SELF-ASSESSMENT</w:t>
            </w:r>
          </w:p>
        </w:tc>
      </w:tr>
      <w:tr>
        <w:tblPrEx>
          <w:tblCellMar>
            <w:left w:w="227" w:type="dxa"/>
            <w:right w:w="227" w:type="dxa"/>
          </w:tblCellMar>
        </w:tblPrEx>
        <w:trPr>
          <w:trHeight w:val="680" w:hRule="atLeast"/>
        </w:trPr>
        <w:tc>
          <w:tcPr>
            <w:tcW w:w="2834" w:type="dxa"/>
            <w:vMerge w:val="continue"/>
            <w:tcBorders/>
            <w:shd w:val="clear" w:color="auto" w:fill="auto"/>
          </w:tcPr>
          <w:p>
            <w:pPr>
              <w:pStyle w:val="style0"/>
              <w:rPr/>
            </w:pPr>
          </w:p>
        </w:tc>
        <w:tc>
          <w:tcPr>
            <w:tcW w:w="1419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>
            <w:pPr>
              <w:pStyle w:val="style4133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Information processing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>
            <w:pPr>
              <w:pStyle w:val="style4133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Communication</w:t>
            </w:r>
          </w:p>
        </w:tc>
        <w:tc>
          <w:tcPr>
            <w:tcW w:w="142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>
            <w:pPr>
              <w:pStyle w:val="style4133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>
            <w:pPr>
              <w:pStyle w:val="style4133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>
            <w:pPr>
              <w:pStyle w:val="style4133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Problem solving</w:t>
            </w:r>
          </w:p>
        </w:tc>
      </w:tr>
      <w:tr>
        <w:tblPrEx>
          <w:tblCellMar>
            <w:top w:w="113" w:type="dxa"/>
            <w:bottom w:w="113" w:type="dxa"/>
          </w:tblCellMar>
        </w:tblPrEx>
        <w:trPr>
          <w:trHeight w:val="283" w:hRule="atLeast"/>
        </w:trPr>
        <w:tc>
          <w:tcPr>
            <w:tcW w:w="2834" w:type="dxa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</w:p>
        </w:tc>
        <w:tc>
          <w:tcPr>
            <w:tcW w:w="141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>
            <w:pPr>
              <w:pStyle w:val="style4134"/>
              <w:rPr>
                <w:caps w:val="false"/>
                <w:sz w:val="20"/>
                <w:szCs w:val="28"/>
              </w:rPr>
            </w:pPr>
            <w:r>
              <w:rPr>
                <w:caps w:val="false"/>
                <w:sz w:val="20"/>
                <w:szCs w:val="28"/>
              </w:rPr>
              <w:t>Proficient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>
            <w:pPr>
              <w:pStyle w:val="style4134"/>
              <w:rPr>
                <w:caps w:val="false"/>
                <w:sz w:val="20"/>
                <w:szCs w:val="28"/>
              </w:rPr>
            </w:pPr>
            <w:r>
              <w:rPr>
                <w:caps w:val="false"/>
                <w:sz w:val="20"/>
                <w:szCs w:val="28"/>
              </w:rPr>
              <w:t>Proficient</w:t>
            </w:r>
          </w:p>
        </w:tc>
        <w:tc>
          <w:tcPr>
            <w:tcW w:w="142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>
            <w:pPr>
              <w:pStyle w:val="style4134"/>
              <w:rPr>
                <w:caps w:val="false"/>
                <w:sz w:val="20"/>
                <w:szCs w:val="28"/>
              </w:rPr>
            </w:pPr>
            <w:r>
              <w:rPr>
                <w:caps w:val="false"/>
                <w:sz w:val="20"/>
                <w:szCs w:val="28"/>
              </w:rPr>
              <w:t>Independent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>
            <w:pPr>
              <w:pStyle w:val="style4134"/>
              <w:rPr>
                <w:caps w:val="false"/>
                <w:sz w:val="20"/>
                <w:szCs w:val="28"/>
              </w:rPr>
            </w:pPr>
            <w:r>
              <w:rPr>
                <w:caps w:val="false"/>
                <w:sz w:val="20"/>
                <w:szCs w:val="28"/>
              </w:rPr>
              <w:t>Basic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>
            <w:pPr>
              <w:pStyle w:val="style4134"/>
              <w:rPr>
                <w:sz w:val="20"/>
                <w:szCs w:val="28"/>
              </w:rPr>
            </w:pPr>
            <w:r>
              <w:rPr>
                <w:caps w:val="false"/>
                <w:sz w:val="20"/>
                <w:szCs w:val="28"/>
              </w:rPr>
              <w:t>Independent</w:t>
            </w:r>
          </w:p>
        </w:tc>
      </w:tr>
      <w:tr>
        <w:tblPrEx>
          <w:tblCellMar>
            <w:bottom w:w="113" w:type="dxa"/>
          </w:tblCellMar>
        </w:tblPrEx>
        <w:trPr>
          <w:trHeight w:val="397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>
                <w:color w:val="2f5496"/>
              </w:rPr>
            </w:pPr>
            <w:r>
              <w:rPr>
                <w:sz w:val="20"/>
                <w:szCs w:val="28"/>
              </w:rPr>
              <w:t xml:space="preserve">                          </w:t>
            </w:r>
            <w:r>
              <w:rPr>
                <w:color w:val="2f5496"/>
                <w:sz w:val="20"/>
                <w:szCs w:val="28"/>
              </w:rPr>
              <w:t>Job-related skills</w:t>
            </w:r>
          </w:p>
          <w:p>
            <w:pPr>
              <w:pStyle w:val="style0"/>
              <w:rPr/>
            </w:pPr>
          </w:p>
        </w:tc>
        <w:tc>
          <w:tcPr>
            <w:tcW w:w="7542" w:type="dxa"/>
            <w:gridSpan w:val="5"/>
            <w:tcBorders/>
            <w:shd w:val="clear" w:color="auto" w:fill="auto"/>
            <w:vAlign w:val="center"/>
          </w:tcPr>
          <w:p>
            <w:pPr>
              <w:pStyle w:val="style4136"/>
              <w:spacing w:lineRule="auto" w:line="276"/>
              <w:rPr>
                <w:sz w:val="20"/>
                <w:szCs w:val="28"/>
              </w:rPr>
            </w:pPr>
          </w:p>
          <w:p>
            <w:pPr>
              <w:pStyle w:val="style179"/>
              <w:widowControl/>
              <w:numPr>
                <w:ilvl w:val="0"/>
                <w:numId w:val="5"/>
              </w:numPr>
              <w:suppressAutoHyphens w:val="false"/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Excellent skills in using Microsoft Word, Power Point and Excel and fair in the Microsoft Access.</w:t>
            </w:r>
          </w:p>
          <w:p>
            <w:pPr>
              <w:pStyle w:val="style179"/>
              <w:widowControl/>
              <w:numPr>
                <w:ilvl w:val="0"/>
                <w:numId w:val="5"/>
              </w:numPr>
              <w:suppressAutoHyphens w:val="false"/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Good skills in using SPSS for</w:t>
            </w:r>
            <w:r>
              <w:rPr>
                <w:sz w:val="20"/>
                <w:szCs w:val="28"/>
              </w:rPr>
              <w:t xml:space="preserve"> academic research data collection and </w:t>
            </w:r>
            <w:r>
              <w:rPr>
                <w:sz w:val="20"/>
                <w:szCs w:val="28"/>
              </w:rPr>
              <w:t>entry</w:t>
            </w:r>
          </w:p>
          <w:p>
            <w:pPr>
              <w:pStyle w:val="style0"/>
              <w:widowControl/>
              <w:suppressAutoHyphens w:val="false"/>
              <w:spacing w:lineRule="auto" w:line="276"/>
              <w:rPr>
                <w:sz w:val="20"/>
                <w:szCs w:val="28"/>
              </w:rPr>
            </w:pP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Participation in Multi-Disciplinary Clinic;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By case presentations for variety of newly diagnosed patients. (2 days per week, 3-5 cases per day)</w:t>
            </w:r>
          </w:p>
          <w:p>
            <w:pPr>
              <w:pStyle w:val="style4121"/>
              <w:spacing w:lineRule="auto" w:line="276"/>
              <w:rPr>
                <w:sz w:val="20"/>
                <w:szCs w:val="28"/>
              </w:rPr>
            </w:pP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Cancer Screening and Early Diagnosis Clinic;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By examination, counselling and teaching for attendant visitor to the hospital. (5 days per month, 10-15 person per day)</w:t>
            </w:r>
          </w:p>
          <w:p>
            <w:pPr>
              <w:pStyle w:val="style4121"/>
              <w:spacing w:lineRule="auto" w:line="276"/>
              <w:rPr>
                <w:sz w:val="20"/>
                <w:szCs w:val="28"/>
              </w:rPr>
            </w:pP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Decision Making for Radiotherapy Treatment;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Attendance of daily department board for new cases presented to the radiotherapy unit.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Case presentations in department board for discussion and decision making.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Discussion of variety of cases with consultants and other specialists.</w:t>
            </w:r>
          </w:p>
          <w:p>
            <w:pPr>
              <w:pStyle w:val="style4121"/>
              <w:spacing w:lineRule="auto" w:line="276"/>
              <w:rPr>
                <w:sz w:val="20"/>
                <w:szCs w:val="28"/>
              </w:rPr>
            </w:pP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Patient Education and Counselling during Radiotherapy Course;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Through multiple visits before, during and after finishing radiotherapy treatment. (3 days per week, 5-10 patients per day)</w:t>
            </w: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Palliative Radiotherapy;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Most cases treated for</w:t>
            </w:r>
            <w:r>
              <w:rPr>
                <w:b/>
                <w:bCs/>
                <w:sz w:val="20"/>
                <w:szCs w:val="28"/>
              </w:rPr>
              <w:t xml:space="preserve"> </w:t>
            </w:r>
            <w:r>
              <w:rPr>
                <w:b/>
                <w:bCs/>
                <w:sz w:val="20"/>
                <w:szCs w:val="28"/>
              </w:rPr>
              <w:t>whole brain irradiation</w:t>
            </w:r>
            <w:r>
              <w:rPr>
                <w:sz w:val="20"/>
                <w:szCs w:val="28"/>
              </w:rPr>
              <w:t xml:space="preserve">, </w:t>
            </w:r>
            <w:r>
              <w:rPr>
                <w:b/>
                <w:bCs/>
                <w:sz w:val="20"/>
                <w:szCs w:val="28"/>
              </w:rPr>
              <w:t>bone metastases</w:t>
            </w:r>
            <w:r>
              <w:rPr>
                <w:sz w:val="20"/>
                <w:szCs w:val="28"/>
              </w:rPr>
              <w:t>.</w:t>
            </w:r>
            <w:r>
              <w:rPr>
                <w:sz w:val="20"/>
                <w:szCs w:val="28"/>
              </w:rPr>
              <w:t xml:space="preserve"> (2-5</w:t>
            </w:r>
            <w:r>
              <w:rPr>
                <w:sz w:val="20"/>
                <w:szCs w:val="28"/>
              </w:rPr>
              <w:t xml:space="preserve"> cases per week)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Other cases include;</w:t>
            </w:r>
          </w:p>
          <w:p>
            <w:pPr>
              <w:pStyle w:val="style4121"/>
              <w:numPr>
                <w:ilvl w:val="1"/>
                <w:numId w:val="10"/>
              </w:numPr>
              <w:spacing w:lineRule="auto" w:line="276"/>
              <w:ind w:left="852" w:hanging="142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Large rib metastatic lesion.</w:t>
            </w:r>
          </w:p>
          <w:p>
            <w:pPr>
              <w:pStyle w:val="style4121"/>
              <w:numPr>
                <w:ilvl w:val="1"/>
                <w:numId w:val="10"/>
              </w:numPr>
              <w:spacing w:lineRule="auto" w:line="276"/>
              <w:ind w:left="852" w:hanging="142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Skull metastasis with intra-cranial extension.</w:t>
            </w:r>
          </w:p>
          <w:p>
            <w:pPr>
              <w:pStyle w:val="style4121"/>
              <w:numPr>
                <w:ilvl w:val="1"/>
                <w:numId w:val="10"/>
              </w:numPr>
              <w:spacing w:lineRule="auto" w:line="276"/>
              <w:ind w:left="852" w:hanging="142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Fungating</w:t>
            </w:r>
            <w:r>
              <w:rPr>
                <w:sz w:val="20"/>
                <w:szCs w:val="28"/>
              </w:rPr>
              <w:t xml:space="preserve"> neck mass.</w:t>
            </w:r>
          </w:p>
          <w:p>
            <w:pPr>
              <w:pStyle w:val="style4121"/>
              <w:numPr>
                <w:ilvl w:val="1"/>
                <w:numId w:val="10"/>
              </w:numPr>
              <w:spacing w:lineRule="auto" w:line="276"/>
              <w:ind w:left="852" w:hanging="142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Dysphagia for </w:t>
            </w:r>
            <w:r>
              <w:rPr>
                <w:sz w:val="20"/>
                <w:szCs w:val="28"/>
              </w:rPr>
              <w:t>esophageal</w:t>
            </w:r>
            <w:r>
              <w:rPr>
                <w:sz w:val="20"/>
                <w:szCs w:val="28"/>
              </w:rPr>
              <w:t xml:space="preserve"> carcinoma.</w:t>
            </w:r>
          </w:p>
          <w:p>
            <w:pPr>
              <w:pStyle w:val="style4121"/>
              <w:numPr>
                <w:ilvl w:val="1"/>
                <w:numId w:val="10"/>
              </w:numPr>
              <w:spacing w:lineRule="auto" w:line="276"/>
              <w:ind w:left="852" w:hanging="142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Metastatic cancer cervix for pain relief.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Using Conventional simulator machine, 3D-CRT in special situations.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Assurance of different methods for fixation and localization.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Ensuring daily treatment delivery for critically ill patients, with in-patients supportive care.</w:t>
            </w:r>
          </w:p>
          <w:p>
            <w:pPr>
              <w:pStyle w:val="style4121"/>
              <w:numPr>
                <w:ilvl w:val="0"/>
                <w:numId w:val="10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Re-irradiation for persistent painful pain metastasis. (5 cases)</w:t>
            </w:r>
          </w:p>
          <w:p>
            <w:pPr>
              <w:pStyle w:val="style4121"/>
              <w:spacing w:lineRule="auto" w:line="276"/>
              <w:rPr>
                <w:sz w:val="20"/>
                <w:szCs w:val="28"/>
              </w:rPr>
            </w:pP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3D-Conformal Radiotherapy;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Breast Cancer; both for chest wall and whole breast irradiation. (6-12 cases per month)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Bladder Cancer; both Bladder conservative and adjuvant sittings. (4-8 cases per month)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Ractal</w:t>
            </w:r>
            <w:r>
              <w:rPr>
                <w:sz w:val="20"/>
                <w:szCs w:val="28"/>
              </w:rPr>
              <w:t xml:space="preserve"> Cancer; in </w:t>
            </w:r>
            <w:r>
              <w:rPr>
                <w:sz w:val="20"/>
                <w:szCs w:val="28"/>
              </w:rPr>
              <w:t>neoadjuvant</w:t>
            </w:r>
            <w:r>
              <w:rPr>
                <w:sz w:val="20"/>
                <w:szCs w:val="28"/>
              </w:rPr>
              <w:t xml:space="preserve"> or adjuvant sittings. (3-6 cases per month)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Gynaecological Tumours;</w:t>
            </w:r>
          </w:p>
          <w:p>
            <w:pPr>
              <w:pStyle w:val="style4121"/>
              <w:numPr>
                <w:ilvl w:val="1"/>
                <w:numId w:val="3"/>
              </w:numPr>
              <w:spacing w:lineRule="auto" w:line="276"/>
              <w:ind w:left="852" w:hanging="142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Cancer Cervix. (3</w:t>
            </w:r>
            <w:r>
              <w:rPr>
                <w:sz w:val="20"/>
                <w:szCs w:val="28"/>
              </w:rPr>
              <w:t xml:space="preserve"> cases) </w:t>
            </w:r>
          </w:p>
          <w:p>
            <w:pPr>
              <w:pStyle w:val="style4121"/>
              <w:numPr>
                <w:ilvl w:val="1"/>
                <w:numId w:val="3"/>
              </w:numPr>
              <w:spacing w:lineRule="auto" w:line="276"/>
              <w:ind w:left="852" w:hanging="142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Uterine Cancer. (9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1"/>
                <w:numId w:val="3"/>
              </w:numPr>
              <w:spacing w:lineRule="auto" w:line="276"/>
              <w:ind w:left="852" w:hanging="142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Cancer Vulva. (1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Prostate Cancer. (5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Other GIT Tumours;</w:t>
            </w:r>
          </w:p>
          <w:p>
            <w:pPr>
              <w:pStyle w:val="style4121"/>
              <w:numPr>
                <w:ilvl w:val="1"/>
                <w:numId w:val="14"/>
              </w:numPr>
              <w:spacing w:lineRule="auto" w:line="276"/>
              <w:ind w:left="852" w:hanging="163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Pancreatic Cancer. (2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1"/>
                <w:numId w:val="14"/>
              </w:numPr>
              <w:spacing w:lineRule="auto" w:line="276"/>
              <w:ind w:left="852" w:hanging="163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Gastric Cancer. (6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1"/>
                <w:numId w:val="14"/>
              </w:numPr>
              <w:spacing w:lineRule="auto" w:line="276"/>
              <w:ind w:left="852" w:hanging="163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Esophageal</w:t>
            </w:r>
            <w:r>
              <w:rPr>
                <w:sz w:val="20"/>
                <w:szCs w:val="28"/>
              </w:rPr>
              <w:t xml:space="preserve"> Cancer. (4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1"/>
                <w:numId w:val="14"/>
              </w:numPr>
              <w:spacing w:lineRule="auto" w:line="276"/>
              <w:ind w:left="852" w:hanging="163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Gall Bladder Cancer. (3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1"/>
                <w:numId w:val="14"/>
              </w:numPr>
              <w:spacing w:lineRule="auto" w:line="276"/>
              <w:ind w:left="852" w:hanging="163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Anus carcinoma (1 case)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Head and Neck Tumours;</w:t>
            </w:r>
          </w:p>
          <w:p>
            <w:pPr>
              <w:pStyle w:val="style4121"/>
              <w:numPr>
                <w:ilvl w:val="1"/>
                <w:numId w:val="14"/>
              </w:numPr>
              <w:spacing w:lineRule="auto" w:line="276"/>
              <w:ind w:left="852" w:hanging="163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Laryngeal Cancer. (8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1"/>
                <w:numId w:val="14"/>
              </w:numPr>
              <w:spacing w:lineRule="auto" w:line="276"/>
              <w:ind w:left="852" w:hanging="163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Hypopharyngeal</w:t>
            </w:r>
            <w:r>
              <w:rPr>
                <w:sz w:val="20"/>
                <w:szCs w:val="28"/>
              </w:rPr>
              <w:t xml:space="preserve"> Cancer. (3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1"/>
                <w:numId w:val="14"/>
              </w:numPr>
              <w:spacing w:lineRule="auto" w:line="276"/>
              <w:ind w:left="852" w:hanging="163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Tongue Cancer. (7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1"/>
                <w:numId w:val="14"/>
              </w:numPr>
              <w:spacing w:lineRule="auto" w:line="276"/>
              <w:ind w:left="852" w:hanging="163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Nasopharyngeal Cancer. (11</w:t>
            </w:r>
            <w:r>
              <w:rPr>
                <w:sz w:val="20"/>
                <w:szCs w:val="28"/>
              </w:rPr>
              <w:t xml:space="preserve"> case)</w:t>
            </w:r>
          </w:p>
          <w:p>
            <w:pPr>
              <w:pStyle w:val="style4121"/>
              <w:numPr>
                <w:ilvl w:val="1"/>
                <w:numId w:val="14"/>
              </w:numPr>
              <w:spacing w:lineRule="auto" w:line="276"/>
              <w:ind w:left="852" w:hanging="163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Parotid Cancer. (3</w:t>
            </w:r>
            <w:r>
              <w:rPr>
                <w:sz w:val="20"/>
                <w:szCs w:val="28"/>
              </w:rPr>
              <w:t xml:space="preserve"> case)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Lymphoma; both HD and NHL. (10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Thoracic Tumours; Lung cancer (1 palliative case) – </w:t>
            </w:r>
            <w:r>
              <w:rPr>
                <w:sz w:val="20"/>
                <w:szCs w:val="28"/>
              </w:rPr>
              <w:t>Thymic</w:t>
            </w:r>
            <w:r>
              <w:rPr>
                <w:sz w:val="20"/>
                <w:szCs w:val="28"/>
              </w:rPr>
              <w:t xml:space="preserve"> carcinoma (1 case)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Brain Tumours; GBM (5</w:t>
            </w:r>
            <w:r>
              <w:rPr>
                <w:sz w:val="20"/>
                <w:szCs w:val="28"/>
              </w:rPr>
              <w:t xml:space="preserve"> cases) – Recurrent Meningioma</w:t>
            </w:r>
            <w:r>
              <w:rPr>
                <w:sz w:val="20"/>
                <w:szCs w:val="28"/>
              </w:rPr>
              <w:t xml:space="preserve"> (1 case) – Brain stem </w:t>
            </w:r>
            <w:r>
              <w:rPr>
                <w:sz w:val="20"/>
                <w:szCs w:val="28"/>
              </w:rPr>
              <w:t>glioma</w:t>
            </w:r>
            <w:r>
              <w:rPr>
                <w:sz w:val="20"/>
                <w:szCs w:val="28"/>
              </w:rPr>
              <w:t xml:space="preserve"> (2</w:t>
            </w:r>
            <w:r>
              <w:rPr>
                <w:sz w:val="20"/>
                <w:szCs w:val="28"/>
              </w:rPr>
              <w:t xml:space="preserve"> case)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Testicular Tumours. (3 cases)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Sarcomas. (10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0"/>
                <w:numId w:val="14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Others benign conditions as </w:t>
            </w:r>
            <w:r>
              <w:rPr>
                <w:sz w:val="20"/>
                <w:szCs w:val="28"/>
              </w:rPr>
              <w:t>villo</w:t>
            </w:r>
            <w:r>
              <w:rPr>
                <w:sz w:val="20"/>
                <w:szCs w:val="28"/>
              </w:rPr>
              <w:t xml:space="preserve">-nodular </w:t>
            </w:r>
            <w:r>
              <w:rPr>
                <w:sz w:val="20"/>
                <w:szCs w:val="28"/>
              </w:rPr>
              <w:t>synovitis</w:t>
            </w:r>
            <w:r>
              <w:rPr>
                <w:sz w:val="20"/>
                <w:szCs w:val="28"/>
              </w:rPr>
              <w:t xml:space="preserve"> </w:t>
            </w:r>
          </w:p>
          <w:p>
            <w:pPr>
              <w:pStyle w:val="style0"/>
              <w:widowControl/>
              <w:suppressAutoHyphens w:val="false"/>
              <w:spacing w:lineRule="auto" w:line="276"/>
              <w:rPr>
                <w:sz w:val="20"/>
                <w:szCs w:val="28"/>
              </w:rPr>
            </w:pPr>
          </w:p>
          <w:p>
            <w:pPr>
              <w:pStyle w:val="style4136"/>
              <w:spacing w:lineRule="auto" w:line="276"/>
              <w:rPr>
                <w:sz w:val="20"/>
                <w:szCs w:val="28"/>
              </w:rPr>
            </w:pPr>
          </w:p>
        </w:tc>
      </w:tr>
    </w:tbl>
    <w:p>
      <w:pPr>
        <w:pStyle w:val="style0"/>
        <w:rPr/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>
        <w:trPr>
          <w:cantSplit/>
          <w:trHeight w:val="170" w:hRule="atLeast"/>
        </w:trPr>
        <w:tc>
          <w:tcPr>
            <w:tcW w:w="2694" w:type="dxa"/>
            <w:tcBorders/>
            <w:shd w:val="clear" w:color="auto" w:fill="auto"/>
          </w:tcPr>
          <w:p>
            <w:pPr>
              <w:pStyle w:val="style4131"/>
              <w:jc w:val="left"/>
              <w:rPr>
                <w:sz w:val="20"/>
                <w:szCs w:val="28"/>
              </w:rPr>
            </w:pPr>
          </w:p>
          <w:p>
            <w:pPr>
              <w:pStyle w:val="style4131"/>
              <w:jc w:val="left"/>
              <w:rPr>
                <w:sz w:val="20"/>
                <w:szCs w:val="28"/>
              </w:rPr>
            </w:pPr>
          </w:p>
          <w:p>
            <w:pPr>
              <w:pStyle w:val="style4131"/>
              <w:jc w:val="left"/>
              <w:rPr>
                <w:sz w:val="20"/>
                <w:szCs w:val="28"/>
              </w:rPr>
            </w:pPr>
          </w:p>
          <w:p>
            <w:pPr>
              <w:pStyle w:val="style4131"/>
              <w:jc w:val="left"/>
              <w:rPr>
                <w:sz w:val="20"/>
                <w:szCs w:val="28"/>
              </w:rPr>
            </w:pPr>
          </w:p>
          <w:p>
            <w:pPr>
              <w:pStyle w:val="style4131"/>
              <w:jc w:val="left"/>
              <w:rPr/>
            </w:pPr>
            <w:r>
              <w:rPr>
                <w:sz w:val="20"/>
                <w:szCs w:val="28"/>
              </w:rPr>
              <w:t xml:space="preserve">          </w:t>
            </w:r>
          </w:p>
        </w:tc>
        <w:tc>
          <w:tcPr>
            <w:tcW w:w="7371" w:type="dxa"/>
            <w:tcBorders/>
            <w:shd w:val="clear" w:color="auto" w:fill="auto"/>
          </w:tcPr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Radiosensitizers</w:t>
            </w:r>
            <w:r>
              <w:rPr>
                <w:b/>
                <w:bCs/>
                <w:sz w:val="22"/>
                <w:szCs w:val="28"/>
              </w:rPr>
              <w:t xml:space="preserve"> prescribing and delivery</w:t>
            </w:r>
            <w:r>
              <w:rPr>
                <w:b/>
                <w:bCs/>
                <w:sz w:val="22"/>
                <w:szCs w:val="28"/>
              </w:rPr>
              <w:t>;</w:t>
            </w:r>
          </w:p>
          <w:p>
            <w:pPr>
              <w:pStyle w:val="style4121"/>
              <w:numPr>
                <w:ilvl w:val="0"/>
                <w:numId w:val="2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Using different agents like; </w:t>
            </w:r>
            <w:r>
              <w:rPr>
                <w:sz w:val="20"/>
                <w:szCs w:val="28"/>
              </w:rPr>
              <w:t>cisplatin</w:t>
            </w:r>
            <w:r>
              <w:rPr>
                <w:sz w:val="20"/>
                <w:szCs w:val="28"/>
              </w:rPr>
              <w:t>, gemcitabi</w:t>
            </w:r>
            <w:r>
              <w:rPr>
                <w:sz w:val="20"/>
                <w:szCs w:val="28"/>
              </w:rPr>
              <w:t xml:space="preserve">ne, </w:t>
            </w:r>
            <w:r>
              <w:rPr>
                <w:sz w:val="20"/>
                <w:szCs w:val="28"/>
              </w:rPr>
              <w:t>capecitabine</w:t>
            </w:r>
            <w:r>
              <w:rPr>
                <w:sz w:val="20"/>
                <w:szCs w:val="28"/>
              </w:rPr>
              <w:t>, paclitaxel,</w:t>
            </w:r>
            <w:r>
              <w:rPr>
                <w:sz w:val="20"/>
                <w:szCs w:val="28"/>
              </w:rPr>
              <w:t xml:space="preserve"> carboplatin</w:t>
            </w:r>
            <w:r>
              <w:rPr>
                <w:sz w:val="20"/>
                <w:szCs w:val="28"/>
              </w:rPr>
              <w:t xml:space="preserve"> and </w:t>
            </w:r>
            <w:r>
              <w:rPr>
                <w:sz w:val="20"/>
                <w:szCs w:val="28"/>
              </w:rPr>
              <w:t>cetuximab</w:t>
            </w:r>
            <w:r>
              <w:rPr>
                <w:sz w:val="20"/>
                <w:szCs w:val="28"/>
              </w:rPr>
              <w:t>.</w:t>
            </w:r>
          </w:p>
          <w:p>
            <w:pPr>
              <w:pStyle w:val="style4121"/>
              <w:numPr>
                <w:ilvl w:val="0"/>
                <w:numId w:val="2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Evaluation of patients’ condition and work-up in radiotherapy unit</w:t>
            </w:r>
            <w:r>
              <w:rPr>
                <w:sz w:val="20"/>
                <w:szCs w:val="28"/>
              </w:rPr>
              <w:t xml:space="preserve"> and manage toxicity</w:t>
            </w:r>
            <w:r>
              <w:rPr>
                <w:sz w:val="20"/>
                <w:szCs w:val="28"/>
              </w:rPr>
              <w:t>.</w:t>
            </w:r>
          </w:p>
          <w:p>
            <w:pPr>
              <w:pStyle w:val="style4121"/>
              <w:numPr>
                <w:ilvl w:val="0"/>
                <w:numId w:val="2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Follow-up of prescribed treatment in day treatment unit.</w:t>
            </w:r>
          </w:p>
          <w:p>
            <w:pPr>
              <w:pStyle w:val="style4121"/>
              <w:spacing w:lineRule="auto" w:line="276"/>
              <w:rPr>
                <w:sz w:val="20"/>
                <w:szCs w:val="28"/>
              </w:rPr>
            </w:pP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Radiotherapy using Electron Beam;</w:t>
            </w:r>
          </w:p>
          <w:p>
            <w:pPr>
              <w:pStyle w:val="style4121"/>
              <w:numPr>
                <w:ilvl w:val="0"/>
                <w:numId w:val="16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Bo</w:t>
            </w:r>
            <w:r>
              <w:rPr>
                <w:sz w:val="20"/>
                <w:szCs w:val="28"/>
              </w:rPr>
              <w:t>ost for breast cancer cases. (26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0"/>
                <w:numId w:val="16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Skin Cancer; of squa</w:t>
            </w:r>
            <w:r>
              <w:rPr>
                <w:sz w:val="20"/>
                <w:szCs w:val="28"/>
              </w:rPr>
              <w:t>mous or basal cell pathology. (5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0"/>
                <w:numId w:val="16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Recurrent Breast cancer. (3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0"/>
                <w:numId w:val="16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Boost for Surgical scar</w:t>
            </w: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in soft tissue sarcoma cases. (7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spacing w:lineRule="auto" w:line="276"/>
              <w:rPr>
                <w:sz w:val="20"/>
                <w:szCs w:val="28"/>
              </w:rPr>
            </w:pP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Emergency Radiotherapy;</w:t>
            </w:r>
          </w:p>
          <w:p>
            <w:pPr>
              <w:pStyle w:val="style4121"/>
              <w:numPr>
                <w:ilvl w:val="0"/>
                <w:numId w:val="1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Mediastinal</w:t>
            </w:r>
            <w:r>
              <w:rPr>
                <w:sz w:val="20"/>
                <w:szCs w:val="28"/>
              </w:rPr>
              <w:t xml:space="preserve"> syndrome. (2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numPr>
                <w:ilvl w:val="0"/>
                <w:numId w:val="1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Heamostatic</w:t>
            </w:r>
            <w:r>
              <w:rPr>
                <w:sz w:val="20"/>
                <w:szCs w:val="28"/>
              </w:rPr>
              <w:t xml:space="preserve"> doses for bleeding from; rectal cancer (2 cases), bladder canc</w:t>
            </w:r>
            <w:r>
              <w:rPr>
                <w:sz w:val="20"/>
                <w:szCs w:val="28"/>
              </w:rPr>
              <w:t>er (3 cases), Cervical Cancer (3</w:t>
            </w:r>
            <w:r>
              <w:rPr>
                <w:sz w:val="20"/>
                <w:szCs w:val="28"/>
              </w:rPr>
              <w:t xml:space="preserve"> cases).</w:t>
            </w:r>
          </w:p>
          <w:p>
            <w:pPr>
              <w:pStyle w:val="style4121"/>
              <w:numPr>
                <w:ilvl w:val="0"/>
                <w:numId w:val="1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Cord compression. (22</w:t>
            </w:r>
            <w:r>
              <w:rPr>
                <w:sz w:val="20"/>
                <w:szCs w:val="28"/>
              </w:rPr>
              <w:t xml:space="preserve"> cases)</w:t>
            </w:r>
          </w:p>
          <w:p>
            <w:pPr>
              <w:pStyle w:val="style4121"/>
              <w:spacing w:lineRule="auto" w:line="276"/>
              <w:rPr>
                <w:sz w:val="20"/>
                <w:szCs w:val="28"/>
              </w:rPr>
            </w:pP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Radiotherapy in Paediatric Cases;</w:t>
            </w:r>
          </w:p>
          <w:p>
            <w:pPr>
              <w:pStyle w:val="style4121"/>
              <w:numPr>
                <w:ilvl w:val="0"/>
                <w:numId w:val="18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Craniospinal</w:t>
            </w:r>
            <w:r>
              <w:rPr>
                <w:sz w:val="20"/>
                <w:szCs w:val="28"/>
              </w:rPr>
              <w:t xml:space="preserve"> irradiation; conventional and 3D-CRT</w:t>
            </w:r>
            <w:r>
              <w:rPr>
                <w:sz w:val="20"/>
                <w:szCs w:val="28"/>
              </w:rPr>
              <w:t>. (2 cases)</w:t>
            </w:r>
          </w:p>
          <w:p>
            <w:pPr>
              <w:pStyle w:val="style4121"/>
              <w:numPr>
                <w:ilvl w:val="0"/>
                <w:numId w:val="18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Medulloblastoma</w:t>
            </w:r>
            <w:r>
              <w:rPr>
                <w:sz w:val="20"/>
                <w:szCs w:val="28"/>
              </w:rPr>
              <w:t>. (1 case)</w:t>
            </w:r>
          </w:p>
          <w:p>
            <w:pPr>
              <w:pStyle w:val="style4121"/>
              <w:numPr>
                <w:ilvl w:val="0"/>
                <w:numId w:val="18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Wilm’sTumor</w:t>
            </w:r>
            <w:r>
              <w:rPr>
                <w:sz w:val="20"/>
                <w:szCs w:val="28"/>
              </w:rPr>
              <w:t>. (1 case)</w:t>
            </w:r>
          </w:p>
          <w:p>
            <w:pPr>
              <w:pStyle w:val="style4121"/>
              <w:numPr>
                <w:ilvl w:val="0"/>
                <w:numId w:val="18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Palliative radiotherapy. (3 cases)</w:t>
            </w:r>
          </w:p>
          <w:p>
            <w:pPr>
              <w:pStyle w:val="style4121"/>
              <w:spacing w:lineRule="auto" w:line="276"/>
              <w:rPr>
                <w:sz w:val="20"/>
                <w:szCs w:val="28"/>
              </w:rPr>
            </w:pPr>
          </w:p>
          <w:p>
            <w:pPr>
              <w:pStyle w:val="style4121"/>
              <w:spacing w:lineRule="auto" w:line="276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Cancer Survivorship Follow-up;</w:t>
            </w:r>
          </w:p>
          <w:p>
            <w:pPr>
              <w:pStyle w:val="style4121"/>
              <w:numPr>
                <w:ilvl w:val="0"/>
                <w:numId w:val="12"/>
              </w:numPr>
              <w:spacing w:lineRule="auto" w:line="276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By attend</w:t>
            </w:r>
            <w:r>
              <w:rPr>
                <w:sz w:val="20"/>
                <w:szCs w:val="28"/>
              </w:rPr>
              <w:t>ing the survivorship clinic, counselling patients. (4 days per month)</w:t>
            </w:r>
          </w:p>
          <w:p>
            <w:pPr>
              <w:pStyle w:val="style4121"/>
              <w:rPr/>
            </w:pPr>
          </w:p>
        </w:tc>
      </w:tr>
    </w:tbl>
    <w:p>
      <w:pPr>
        <w:pStyle w:val="style0"/>
        <w:rPr/>
      </w:pPr>
    </w:p>
    <w:p>
      <w:pPr>
        <w:pStyle w:val="style4138"/>
        <w:rPr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>
        <w:trPr>
          <w:cantSplit/>
          <w:trHeight w:val="170" w:hRule="atLeast"/>
        </w:trPr>
        <w:tc>
          <w:tcPr>
            <w:tcW w:w="2835" w:type="dxa"/>
            <w:tcBorders/>
            <w:shd w:val="clear" w:color="auto" w:fill="auto"/>
          </w:tcPr>
          <w:p>
            <w:pPr>
              <w:pStyle w:val="style4107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caps w:val="false"/>
                <w:sz w:val="20"/>
                <w:szCs w:val="28"/>
              </w:rPr>
              <w:t>ADDITIONAL INFORMATION</w:t>
            </w:r>
          </w:p>
        </w:tc>
        <w:tc>
          <w:tcPr>
            <w:tcW w:w="7540" w:type="dxa"/>
            <w:tcBorders/>
            <w:shd w:val="clear" w:color="auto" w:fill="auto"/>
            <w:vAlign w:val="bottom"/>
          </w:tcPr>
          <w:p>
            <w:pPr>
              <w:pStyle w:val="style4147"/>
              <w:rPr/>
            </w:pPr>
            <w:r>
              <w:rPr>
                <w:noProof/>
                <w:lang w:val="en-US" w:bidi="ar-SA" w:eastAsia="en-US"/>
              </w:rPr>
              <w:drawing>
                <wp:inline distT="0" distB="0" distR="0" distL="0">
                  <wp:extent cx="4789170" cy="89535"/>
                  <wp:effectExtent l="0" t="0" r="0" b="0"/>
                  <wp:docPr id="1034" name="Picture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789170" cy="89535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4138"/>
        <w:rPr/>
      </w:pPr>
    </w:p>
    <w:tbl>
      <w:tblPr>
        <w:tblpPr w:leftFromText="0" w:rightFromText="0" w:topFromText="6" w:bottomFromText="170" w:vertAnchor="text" w:tblpXSpec="lef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>
        <w:trPr>
          <w:cantSplit/>
          <w:trHeight w:val="170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3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Publications</w:t>
            </w:r>
          </w:p>
          <w:p>
            <w:pPr>
              <w:pStyle w:val="style4131"/>
              <w:rPr/>
            </w:pPr>
          </w:p>
          <w:p>
            <w:pPr>
              <w:pStyle w:val="style4131"/>
              <w:rPr/>
            </w:pPr>
          </w:p>
          <w:p>
            <w:pPr>
              <w:pStyle w:val="style4131"/>
              <w:rPr/>
            </w:pPr>
          </w:p>
          <w:p>
            <w:pPr>
              <w:pStyle w:val="style4131"/>
              <w:rPr/>
            </w:pPr>
          </w:p>
          <w:p>
            <w:pPr>
              <w:pStyle w:val="style4131"/>
              <w:rPr/>
            </w:pP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4121"/>
              <w:spacing w:lineRule="auto" w:line="276"/>
              <w:ind w:left="113"/>
              <w:jc w:val="both"/>
              <w:rPr/>
            </w:pPr>
            <w:r>
              <w:rPr>
                <w:sz w:val="20"/>
                <w:szCs w:val="28"/>
              </w:rPr>
              <w:t xml:space="preserve">Tamer M Samy1, </w:t>
            </w:r>
            <w:r>
              <w:rPr>
                <w:sz w:val="20"/>
                <w:szCs w:val="28"/>
              </w:rPr>
              <w:t>Samia</w:t>
            </w:r>
            <w:r>
              <w:rPr>
                <w:sz w:val="20"/>
                <w:szCs w:val="28"/>
              </w:rPr>
              <w:t xml:space="preserve"> Abdelkareem2, </w:t>
            </w:r>
            <w:r>
              <w:rPr>
                <w:sz w:val="20"/>
                <w:szCs w:val="28"/>
              </w:rPr>
              <w:t>Marwa</w:t>
            </w:r>
            <w:r>
              <w:rPr>
                <w:sz w:val="20"/>
                <w:szCs w:val="28"/>
              </w:rPr>
              <w:t xml:space="preserve"> Abdelgawad2, </w:t>
            </w:r>
            <w:r>
              <w:rPr>
                <w:sz w:val="20"/>
                <w:szCs w:val="28"/>
              </w:rPr>
              <w:t>Shimaa</w:t>
            </w:r>
            <w:r>
              <w:rPr>
                <w:sz w:val="20"/>
                <w:szCs w:val="28"/>
              </w:rPr>
              <w:t xml:space="preserve"> Ahmed1 ., Cardiac toxicity of </w:t>
            </w:r>
            <w:r>
              <w:rPr>
                <w:sz w:val="20"/>
                <w:szCs w:val="28"/>
              </w:rPr>
              <w:t>hypofractionated</w:t>
            </w:r>
            <w:r>
              <w:rPr>
                <w:sz w:val="20"/>
                <w:szCs w:val="28"/>
              </w:rPr>
              <w:t xml:space="preserve"> radiotherapy in left breast cancer, Cancer Biology , Vol. 8 - No. 2, 2018</w:t>
            </w:r>
            <w:r>
              <w:rPr>
                <w:sz w:val="20"/>
                <w:szCs w:val="28"/>
              </w:rPr>
              <w:t>.</w:t>
            </w:r>
          </w:p>
        </w:tc>
      </w:tr>
      <w:tr>
        <w:tblPrEx/>
        <w:trPr>
          <w:cantSplit/>
          <w:trHeight w:val="170" w:hRule="atLeast"/>
        </w:trPr>
        <w:tc>
          <w:tcPr>
            <w:tcW w:w="2834" w:type="dxa"/>
            <w:tcBorders/>
            <w:shd w:val="clear" w:color="auto" w:fill="auto"/>
          </w:tcPr>
          <w:p>
            <w:pPr>
              <w:pStyle w:val="style4131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References</w:t>
            </w:r>
          </w:p>
          <w:p>
            <w:pPr>
              <w:pStyle w:val="style4131"/>
              <w:rPr/>
            </w:pPr>
          </w:p>
        </w:tc>
        <w:tc>
          <w:tcPr>
            <w:tcW w:w="7542" w:type="dxa"/>
            <w:tcBorders/>
            <w:shd w:val="clear" w:color="auto" w:fill="auto"/>
          </w:tcPr>
          <w:p>
            <w:pPr>
              <w:pStyle w:val="style179"/>
              <w:widowControl/>
              <w:numPr>
                <w:ilvl w:val="0"/>
                <w:numId w:val="4"/>
              </w:numPr>
              <w:suppressAutoHyphens w:val="false"/>
              <w:spacing w:lineRule="auto" w:line="276"/>
              <w:rPr>
                <w:b/>
                <w:bCs/>
                <w:sz w:val="20"/>
                <w:szCs w:val="26"/>
              </w:rPr>
            </w:pPr>
            <w:r>
              <w:rPr>
                <w:b/>
                <w:bCs/>
                <w:sz w:val="20"/>
                <w:szCs w:val="26"/>
              </w:rPr>
              <w:t xml:space="preserve">Prof. </w:t>
            </w:r>
            <w:r>
              <w:rPr>
                <w:b/>
                <w:bCs/>
                <w:sz w:val="20"/>
                <w:szCs w:val="26"/>
              </w:rPr>
              <w:t>Dr.</w:t>
            </w:r>
            <w:r>
              <w:rPr>
                <w:b/>
                <w:bCs/>
                <w:sz w:val="20"/>
                <w:szCs w:val="26"/>
              </w:rPr>
              <w:t xml:space="preserve"> </w:t>
            </w:r>
            <w:r>
              <w:rPr>
                <w:b/>
                <w:bCs/>
                <w:sz w:val="20"/>
                <w:szCs w:val="26"/>
              </w:rPr>
              <w:t>Mostafa</w:t>
            </w:r>
            <w:r>
              <w:rPr>
                <w:b/>
                <w:bCs/>
                <w:sz w:val="20"/>
                <w:szCs w:val="26"/>
              </w:rPr>
              <w:t xml:space="preserve"> </w:t>
            </w:r>
            <w:r>
              <w:t xml:space="preserve"> </w:t>
            </w:r>
            <w:r>
              <w:rPr>
                <w:b/>
                <w:bCs/>
                <w:sz w:val="20"/>
                <w:szCs w:val="26"/>
              </w:rPr>
              <w:t>Elsayed</w:t>
            </w:r>
            <w:r>
              <w:rPr>
                <w:b/>
                <w:bCs/>
                <w:sz w:val="20"/>
                <w:szCs w:val="26"/>
              </w:rPr>
              <w:t xml:space="preserve"> </w:t>
            </w:r>
            <w:r>
              <w:rPr>
                <w:b/>
                <w:bCs/>
                <w:sz w:val="20"/>
                <w:szCs w:val="26"/>
              </w:rPr>
              <w:t>Abdelwanis</w:t>
            </w:r>
            <w:r>
              <w:rPr>
                <w:b/>
                <w:bCs/>
                <w:sz w:val="20"/>
                <w:szCs w:val="26"/>
              </w:rPr>
              <w:t>, M.D.</w:t>
            </w:r>
          </w:p>
          <w:p>
            <w:pPr>
              <w:pStyle w:val="style0"/>
              <w:widowControl/>
              <w:suppressAutoHyphens w:val="false"/>
              <w:spacing w:lineRule="auto" w:line="276"/>
              <w:ind w:left="427" w:hanging="142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Head of</w:t>
            </w:r>
            <w:r>
              <w:rPr>
                <w:sz w:val="20"/>
                <w:szCs w:val="26"/>
              </w:rPr>
              <w:t xml:space="preserve"> Radiation Oncology and Nuclear Medicine Department, South Egypt Cancer </w:t>
            </w:r>
            <w:r>
              <w:rPr>
                <w:sz w:val="20"/>
                <w:szCs w:val="26"/>
              </w:rPr>
              <w:t>Institute</w:t>
            </w:r>
            <w:r>
              <w:rPr>
                <w:sz w:val="20"/>
                <w:szCs w:val="26"/>
              </w:rPr>
              <w:t>,Assuit</w:t>
            </w:r>
            <w:r>
              <w:rPr>
                <w:sz w:val="20"/>
                <w:szCs w:val="26"/>
              </w:rPr>
              <w:t xml:space="preserve"> University, </w:t>
            </w:r>
            <w:r>
              <w:rPr>
                <w:sz w:val="20"/>
                <w:szCs w:val="26"/>
              </w:rPr>
              <w:t>Egypt.</w:t>
            </w:r>
          </w:p>
          <w:p>
            <w:pPr>
              <w:pStyle w:val="style0"/>
              <w:widowControl/>
              <w:suppressAutoHyphens w:val="false"/>
              <w:spacing w:lineRule="auto" w:line="276"/>
              <w:ind w:left="427" w:hanging="142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Mobile: +20-1221133032</w:t>
            </w:r>
          </w:p>
          <w:p>
            <w:pPr>
              <w:pStyle w:val="style0"/>
              <w:widowControl/>
              <w:suppressAutoHyphens w:val="false"/>
              <w:spacing w:lineRule="auto" w:line="276"/>
              <w:ind w:left="427" w:hanging="142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 xml:space="preserve">Email: </w:t>
            </w:r>
            <w:r>
              <w:rPr>
                <w:sz w:val="20"/>
                <w:szCs w:val="26"/>
              </w:rPr>
              <w:t>mostafawanis</w:t>
            </w:r>
            <w:r>
              <w:rPr>
                <w:sz w:val="20"/>
                <w:szCs w:val="26"/>
              </w:rPr>
              <w:t>@</w:t>
            </w:r>
            <w:r>
              <w:rPr>
                <w:sz w:val="20"/>
                <w:szCs w:val="26"/>
              </w:rPr>
              <w:t>yahoo</w:t>
            </w:r>
            <w:r>
              <w:rPr>
                <w:sz w:val="20"/>
                <w:szCs w:val="26"/>
              </w:rPr>
              <w:t>.com</w:t>
            </w:r>
          </w:p>
          <w:p>
            <w:pPr>
              <w:pStyle w:val="style0"/>
              <w:widowControl/>
              <w:suppressAutoHyphens w:val="false"/>
              <w:spacing w:lineRule="auto" w:line="276"/>
              <w:ind w:left="427" w:hanging="142"/>
              <w:rPr>
                <w:sz w:val="20"/>
                <w:szCs w:val="26"/>
              </w:rPr>
            </w:pPr>
          </w:p>
          <w:p>
            <w:pPr>
              <w:pStyle w:val="style179"/>
              <w:widowControl/>
              <w:numPr>
                <w:ilvl w:val="0"/>
                <w:numId w:val="4"/>
              </w:numPr>
              <w:suppressAutoHyphens w:val="false"/>
              <w:spacing w:lineRule="auto" w:line="276"/>
              <w:rPr>
                <w:b/>
                <w:bCs/>
                <w:sz w:val="20"/>
                <w:szCs w:val="26"/>
              </w:rPr>
            </w:pPr>
            <w:r>
              <w:rPr>
                <w:b/>
                <w:bCs/>
                <w:sz w:val="20"/>
                <w:szCs w:val="26"/>
              </w:rPr>
              <w:t>Dr.</w:t>
            </w:r>
            <w:r>
              <w:rPr>
                <w:b/>
                <w:bCs/>
                <w:sz w:val="20"/>
                <w:szCs w:val="26"/>
              </w:rPr>
              <w:t>Osama</w:t>
            </w:r>
            <w:r>
              <w:rPr>
                <w:b/>
                <w:bCs/>
                <w:sz w:val="20"/>
                <w:szCs w:val="26"/>
              </w:rPr>
              <w:t xml:space="preserve"> </w:t>
            </w:r>
            <w:r>
              <w:rPr>
                <w:b/>
                <w:bCs/>
                <w:sz w:val="20"/>
                <w:szCs w:val="26"/>
              </w:rPr>
              <w:t>MostafaAbd</w:t>
            </w:r>
            <w:r>
              <w:rPr>
                <w:b/>
                <w:bCs/>
                <w:sz w:val="20"/>
                <w:szCs w:val="26"/>
              </w:rPr>
              <w:t xml:space="preserve"> El-</w:t>
            </w:r>
            <w:r>
              <w:rPr>
                <w:b/>
                <w:bCs/>
                <w:sz w:val="20"/>
                <w:szCs w:val="26"/>
              </w:rPr>
              <w:t>Badee</w:t>
            </w:r>
            <w:r>
              <w:rPr>
                <w:b/>
                <w:bCs/>
                <w:sz w:val="20"/>
                <w:szCs w:val="26"/>
              </w:rPr>
              <w:t>, M.D.</w:t>
            </w:r>
          </w:p>
          <w:p>
            <w:pPr>
              <w:pStyle w:val="style0"/>
              <w:widowControl/>
              <w:suppressAutoHyphens w:val="false"/>
              <w:spacing w:lineRule="auto" w:line="276"/>
              <w:ind w:left="427" w:hanging="142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 xml:space="preserve">Lecturer, Radiation Oncology and Nuclear Medicine Department, South Egypt Cancer Institute, </w:t>
            </w:r>
            <w:r>
              <w:rPr>
                <w:sz w:val="20"/>
                <w:szCs w:val="26"/>
              </w:rPr>
              <w:t>Assuit</w:t>
            </w:r>
            <w:r>
              <w:rPr>
                <w:sz w:val="20"/>
                <w:szCs w:val="26"/>
              </w:rPr>
              <w:t xml:space="preserve"> University, Egypt.</w:t>
            </w:r>
          </w:p>
          <w:p>
            <w:pPr>
              <w:pStyle w:val="style0"/>
              <w:widowControl/>
              <w:suppressAutoHyphens w:val="false"/>
              <w:spacing w:lineRule="auto" w:line="276"/>
              <w:ind w:left="427" w:hanging="142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Mobile: +20-1013428780</w:t>
            </w:r>
          </w:p>
          <w:p>
            <w:pPr>
              <w:pStyle w:val="style4121"/>
              <w:spacing w:lineRule="auto" w:line="276"/>
              <w:ind w:left="427" w:hanging="142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 xml:space="preserve">Email:  </w:t>
            </w:r>
            <w:r>
              <w:rPr>
                <w:sz w:val="20"/>
                <w:szCs w:val="26"/>
              </w:rPr>
              <w:t>osamarth@yahoo.com</w:t>
            </w:r>
          </w:p>
          <w:p>
            <w:pPr>
              <w:pStyle w:val="style4121"/>
              <w:spacing w:lineRule="auto" w:line="276"/>
              <w:rPr/>
            </w:pPr>
          </w:p>
        </w:tc>
      </w:tr>
      <w:bookmarkStart w:id="0" w:name="_GoBack"/>
      <w:bookmarkEnd w:id="0"/>
    </w:tbl>
    <w:p>
      <w:pPr>
        <w:pStyle w:val="style0"/>
        <w:rPr/>
      </w:pPr>
    </w:p>
    <w:sectPr>
      <w:headerReference w:type="even" r:id="rId8"/>
      <w:headerReference w:type="default" r:id="rId9"/>
      <w:footerReference w:type="even" r:id="rId10"/>
      <w:footerReference w:type="default" r:id="rId11"/>
      <w:pgSz w:w="11906" w:h="16838" w:orient="portrait"/>
      <w:pgMar w:top="1644" w:right="680" w:bottom="1474" w:left="850" w:header="850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OpenSymbol"/>
    <w:panose1 w:val="00000000000000000000"/>
    <w:charset w:val="00"/>
    <w:family w:val="auto"/>
    <w:pitch w:val="variable"/>
    <w:sig w:usb0="800000AF" w:usb1="1001ECEA" w:usb2="00000000" w:usb3="00000000" w:csb0="00000001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altName w:val="Microsoft YaHe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tabs>
        <w:tab w:val="clear" w:pos="10205"/>
      </w:tabs>
      <w:autoSpaceDE w:val="false"/>
      <w:rPr>
        <w:lang w:val="fr-BE"/>
      </w:rPr>
    </w:pPr>
    <w:r>
      <w:rPr>
        <w:rFonts w:ascii="ArialMT" w:cs="ArialMT" w:eastAsia="ArialMT" w:hAnsi="ArialMT"/>
        <w:color w:val="26b4ea"/>
        <w:sz w:val="14"/>
        <w:szCs w:val="14"/>
      </w:rPr>
      <w:tab/>
    </w:r>
    <w:r>
      <w:rPr>
        <w:rFonts w:ascii="ArialMT" w:cs="ArialMT" w:eastAsia="ArialMT" w:hAnsi="ArialMT"/>
        <w:sz w:val="14"/>
        <w:szCs w:val="14"/>
        <w:lang w:val="fr-BE"/>
      </w:rPr>
      <w:tab/>
    </w:r>
    <w:r>
      <w:rPr>
        <w:rFonts w:ascii="ArialMT" w:cs="ArialMT" w:eastAsia="ArialMT" w:hAnsi="ArialMT"/>
        <w:sz w:val="14"/>
        <w:szCs w:val="14"/>
        <w:lang w:val="fr-BE"/>
      </w:rPr>
      <w:t>Page</w:t>
    </w:r>
    <w:r>
      <w:rPr>
        <w:rFonts w:cs="ArialMT" w:eastAsia="ArialMT"/>
        <w:sz w:val="14"/>
        <w:szCs w:val="14"/>
      </w:rPr>
      <w:fldChar w:fldCharType="begin"/>
    </w:r>
    <w:r>
      <w:rPr>
        <w:rFonts w:cs="ArialMT" w:eastAsia="ArialMT"/>
        <w:sz w:val="14"/>
        <w:szCs w:val="14"/>
        <w:lang w:val="fr-BE"/>
      </w:rPr>
      <w:instrText xml:space="preserve"> PAGE </w:instrText>
    </w:r>
    <w:r>
      <w:rPr>
        <w:rFonts w:cs="ArialMT" w:eastAsia="ArialMT"/>
        <w:sz w:val="14"/>
        <w:szCs w:val="14"/>
      </w:rPr>
      <w:fldChar w:fldCharType="separate"/>
    </w:r>
    <w:r>
      <w:rPr>
        <w:rFonts w:cs="ArialMT" w:eastAsia="ArialMT"/>
        <w:noProof/>
        <w:sz w:val="14"/>
        <w:szCs w:val="14"/>
        <w:lang w:val="fr-BE"/>
      </w:rPr>
      <w:t>4</w:t>
    </w:r>
    <w:r>
      <w:rPr>
        <w:rFonts w:cs="ArialMT" w:eastAsia="ArialMT"/>
        <w:sz w:val="14"/>
        <w:szCs w:val="14"/>
      </w:rPr>
      <w:fldChar w:fldCharType="end"/>
    </w:r>
    <w:r>
      <w:rPr>
        <w:rFonts w:ascii="ArialMT" w:cs="ArialMT" w:eastAsia="ArialMT" w:hAnsi="ArialMT"/>
        <w:sz w:val="14"/>
        <w:szCs w:val="14"/>
        <w:lang w:val="fr-BE"/>
      </w:rPr>
      <w:t xml:space="preserve"> / </w:t>
    </w:r>
    <w:r>
      <w:rPr>
        <w:rFonts w:cs="ArialMT" w:eastAsia="ArialMT"/>
        <w:sz w:val="14"/>
        <w:szCs w:val="14"/>
      </w:rPr>
      <w:fldChar w:fldCharType="begin"/>
    </w:r>
    <w:r>
      <w:rPr>
        <w:rFonts w:cs="ArialMT" w:eastAsia="ArialMT"/>
        <w:sz w:val="14"/>
        <w:szCs w:val="14"/>
        <w:lang w:val="fr-BE"/>
      </w:rPr>
      <w:instrText xml:space="preserve"> NUMPAGES </w:instrText>
    </w:r>
    <w:r>
      <w:rPr>
        <w:rFonts w:cs="ArialMT" w:eastAsia="ArialMT"/>
        <w:sz w:val="14"/>
        <w:szCs w:val="14"/>
      </w:rPr>
      <w:fldChar w:fldCharType="separate"/>
    </w:r>
    <w:r>
      <w:rPr>
        <w:rFonts w:cs="ArialMT" w:eastAsia="ArialMT"/>
        <w:noProof/>
        <w:sz w:val="14"/>
        <w:szCs w:val="14"/>
        <w:lang w:val="fr-BE"/>
      </w:rPr>
      <w:t>5</w:t>
    </w:r>
    <w:r>
      <w:rPr>
        <w:rFonts w:cs="ArialMT" w:eastAsia="ArialMT"/>
        <w:sz w:val="14"/>
        <w:szCs w:val="14"/>
      </w:rPr>
      <w:fldChar w:fldCharType="end"/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tabs>
        <w:tab w:val="clear" w:pos="10205"/>
      </w:tabs>
      <w:autoSpaceDE w:val="false"/>
      <w:rPr>
        <w:lang w:val="fr-BE"/>
      </w:rPr>
    </w:pPr>
    <w:r>
      <w:rPr>
        <w:rFonts w:ascii="ArialMT" w:cs="ArialMT" w:eastAsia="ArialMT" w:hAnsi="ArialMT"/>
        <w:color w:val="26b4ea"/>
        <w:sz w:val="14"/>
        <w:szCs w:val="14"/>
      </w:rPr>
      <w:tab/>
    </w:r>
    <w:r>
      <w:rPr>
        <w:rFonts w:ascii="ArialMT" w:cs="ArialMT" w:eastAsia="ArialMT" w:hAnsi="ArialMT"/>
        <w:sz w:val="14"/>
        <w:szCs w:val="14"/>
        <w:lang w:val="fr-BE"/>
      </w:rPr>
      <w:tab/>
    </w:r>
    <w:r>
      <w:rPr>
        <w:rFonts w:ascii="ArialMT" w:cs="ArialMT" w:eastAsia="ArialMT" w:hAnsi="ArialMT"/>
        <w:sz w:val="14"/>
        <w:szCs w:val="14"/>
        <w:lang w:val="fr-BE"/>
      </w:rPr>
      <w:t>Page</w:t>
    </w:r>
    <w:r>
      <w:rPr>
        <w:rFonts w:cs="ArialMT" w:eastAsia="ArialMT"/>
        <w:sz w:val="14"/>
        <w:szCs w:val="14"/>
      </w:rPr>
      <w:fldChar w:fldCharType="begin"/>
    </w:r>
    <w:r>
      <w:rPr>
        <w:rFonts w:cs="ArialMT" w:eastAsia="ArialMT"/>
        <w:sz w:val="14"/>
        <w:szCs w:val="14"/>
        <w:lang w:val="fr-BE"/>
      </w:rPr>
      <w:instrText xml:space="preserve"> PAGE </w:instrText>
    </w:r>
    <w:r>
      <w:rPr>
        <w:rFonts w:cs="ArialMT" w:eastAsia="ArialMT"/>
        <w:sz w:val="14"/>
        <w:szCs w:val="14"/>
      </w:rPr>
      <w:fldChar w:fldCharType="separate"/>
    </w:r>
    <w:r>
      <w:rPr>
        <w:rFonts w:cs="ArialMT" w:eastAsia="ArialMT"/>
        <w:noProof/>
        <w:sz w:val="14"/>
        <w:szCs w:val="14"/>
        <w:lang w:val="fr-BE"/>
      </w:rPr>
      <w:t>5</w:t>
    </w:r>
    <w:r>
      <w:rPr>
        <w:rFonts w:cs="ArialMT" w:eastAsia="ArialMT"/>
        <w:sz w:val="14"/>
        <w:szCs w:val="14"/>
      </w:rPr>
      <w:fldChar w:fldCharType="end"/>
    </w:r>
    <w:r>
      <w:rPr>
        <w:rFonts w:ascii="ArialMT" w:cs="ArialMT" w:eastAsia="ArialMT" w:hAnsi="ArialMT"/>
        <w:sz w:val="14"/>
        <w:szCs w:val="14"/>
        <w:lang w:val="fr-BE"/>
      </w:rPr>
      <w:t xml:space="preserve"> / </w:t>
    </w:r>
    <w:r>
      <w:rPr>
        <w:rFonts w:cs="ArialMT" w:eastAsia="ArialMT"/>
        <w:sz w:val="14"/>
        <w:szCs w:val="14"/>
      </w:rPr>
      <w:fldChar w:fldCharType="begin"/>
    </w:r>
    <w:r>
      <w:rPr>
        <w:rFonts w:cs="ArialMT" w:eastAsia="ArialMT"/>
        <w:sz w:val="14"/>
        <w:szCs w:val="14"/>
        <w:lang w:val="fr-BE"/>
      </w:rPr>
      <w:instrText xml:space="preserve"> NUMPAGES </w:instrText>
    </w:r>
    <w:r>
      <w:rPr>
        <w:rFonts w:cs="ArialMT" w:eastAsia="ArialMT"/>
        <w:sz w:val="14"/>
        <w:szCs w:val="14"/>
      </w:rPr>
      <w:fldChar w:fldCharType="separate"/>
    </w:r>
    <w:r>
      <w:rPr>
        <w:rFonts w:cs="ArialMT" w:eastAsia="ArialMT"/>
        <w:noProof/>
        <w:sz w:val="14"/>
        <w:szCs w:val="14"/>
        <w:lang w:val="fr-BE"/>
      </w:rPr>
      <w:t>5</w:t>
    </w:r>
    <w:r>
      <w:rPr>
        <w:rFonts w:cs="ArialMT" w:eastAsia="ArialMT"/>
        <w:sz w:val="14"/>
        <w:szCs w:val="14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44"/>
      <w:rPr/>
    </w:pPr>
    <w:r>
      <w:tab/>
    </w:r>
    <w:r>
      <w:rPr>
        <w:szCs w:val="20"/>
      </w:rPr>
      <w:t>Curriculum Vitae</w:t>
    </w:r>
    <w:r>
      <w:rPr>
        <w:szCs w:val="20"/>
      </w:rPr>
      <w:tab/>
    </w:r>
    <w:r>
      <w:rPr>
        <w:szCs w:val="20"/>
      </w:rPr>
      <w:t xml:space="preserve">Tamer </w:t>
    </w:r>
    <w:r>
      <w:rPr>
        <w:szCs w:val="20"/>
      </w:rPr>
      <w:t>Samy</w: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44"/>
      <w:rPr/>
    </w:pPr>
    <w:r>
      <w:tab/>
    </w:r>
    <w:r>
      <w:rPr>
        <w:szCs w:val="20"/>
      </w:rPr>
      <w:t>Curriculum Vitae</w:t>
    </w:r>
    <w:r>
      <w:rPr>
        <w:szCs w:val="20"/>
      </w:rPr>
      <w:tab/>
    </w:r>
    <w:r>
      <w:rPr>
        <w:szCs w:val="20"/>
      </w:rPr>
      <w:t xml:space="preserve">Tamer </w:t>
    </w:r>
    <w:r>
      <w:rPr>
        <w:szCs w:val="20"/>
      </w:rPr>
      <w:t>Samy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246A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E5E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154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164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8C6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AD4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038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00000001"/>
    <w:lvl w:ilvl="0">
      <w:start w:val="1"/>
      <w:numFmt w:val="none"/>
      <w:pStyle w:val="style4122"/>
      <w:suff w:val="nothing"/>
      <w:lvlText w:val=""/>
      <w:lvlJc w:val="left"/>
      <w:pPr>
        <w:tabs>
          <w:tab w:val="left" w:leader="none" w:pos="432"/>
        </w:tabs>
        <w:ind w:left="432" w:hanging="432"/>
      </w:pPr>
    </w:lvl>
    <w:lvl w:ilvl="1">
      <w:start w:val="1"/>
      <w:numFmt w:val="none"/>
      <w:pStyle w:val="style2"/>
      <w:suff w:val="nothing"/>
      <w:lvlText w:val=""/>
      <w:lvlJc w:val="left"/>
      <w:pPr>
        <w:tabs>
          <w:tab w:val="left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1584"/>
        </w:tabs>
        <w:ind w:left="1584" w:hanging="1584"/>
      </w:pPr>
    </w:lvl>
  </w:abstractNum>
  <w:abstractNum w:abstractNumId="8">
    <w:nsid w:val="00000008"/>
    <w:multiLevelType w:val="hybridMultilevel"/>
    <w:tmpl w:val="2AB4A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9DA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02EA58C"/>
    <w:lvl w:ilvl="0" w:tplc="2C006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BE2AA90"/>
    <w:lvl w:ilvl="0" w:tplc="362A54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FAE4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702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5EDA3DEC"/>
    <w:lvl w:ilvl="0" w:tplc="2C006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B0DED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6CA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DC0E9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left" w:leader="none" w:pos="0"/>
        </w:tabs>
        <w:ind w:left="113" w:hanging="113"/>
      </w:pPr>
      <w:rPr>
        <w:rFonts w:ascii="Segoe UI" w:cs="OpenSymbol" w:hAnsi="Segoe UI"/>
      </w:rPr>
    </w:lvl>
    <w:lvl w:ilvl="1">
      <w:start w:val="1"/>
      <w:numFmt w:val="bullet"/>
      <w:lvlText w:val="▫"/>
      <w:lvlJc w:val="left"/>
      <w:pPr>
        <w:tabs>
          <w:tab w:val="left" w:leader="none" w:pos="0"/>
        </w:tabs>
        <w:ind w:left="227" w:hanging="114"/>
      </w:pPr>
      <w:rPr>
        <w:rFonts w:ascii="Segoe UI" w:cs="OpenSymbol" w:hAnsi="Segoe UI"/>
      </w:rPr>
    </w:lvl>
    <w:lvl w:ilvl="2">
      <w:start w:val="1"/>
      <w:numFmt w:val="bullet"/>
      <w:lvlText w:val=""/>
      <w:lvlJc w:val="left"/>
      <w:pPr>
        <w:tabs>
          <w:tab w:val="left" w:leader="none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leader="none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leader="none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leader="none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leader="none" w:pos="0"/>
        </w:tabs>
        <w:ind w:left="113" w:firstLine="1701"/>
      </w:pPr>
      <w:rPr>
        <w:rFonts w:ascii="Symbol" w:hAnsi="Symbol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3"/>
  </w:num>
  <w:num w:numId="5">
    <w:abstractNumId w:val="6"/>
  </w:num>
  <w:num w:numId="6">
    <w:abstractNumId w:val="18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4"/>
  </w:num>
  <w:num w:numId="13">
    <w:abstractNumId w:val="15"/>
  </w:num>
  <w:num w:numId="14">
    <w:abstractNumId w:val="5"/>
  </w:num>
  <w:num w:numId="15">
    <w:abstractNumId w:val="9"/>
  </w:num>
  <w:num w:numId="16">
    <w:abstractNumId w:val="16"/>
  </w:num>
  <w:num w:numId="17">
    <w:abstractNumId w:val="14"/>
  </w:num>
  <w:num w:numId="18">
    <w:abstractNumId w:val="2"/>
  </w:num>
  <w:num w:numId="19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displayBackgroundShape/>
  <w:embedSystemFonts/>
  <w:proofState w:spelling="clean" w:grammar="clean"/>
  <w:stylePaneSortMethod w:val="0001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uppressAutoHyphens/>
    </w:pPr>
    <w:rPr>
      <w:rFonts w:ascii="Arial" w:cs="Mangal" w:eastAsia="SimSun" w:hAnsi="Arial"/>
      <w:color w:val="3f3a38"/>
      <w:spacing w:val="-6"/>
      <w:kern w:val="1"/>
      <w:sz w:val="16"/>
      <w:szCs w:val="24"/>
      <w:lang w:bidi="hi-IN" w:eastAsia="hi-IN"/>
    </w:rPr>
  </w:style>
  <w:style w:type="paragraph" w:styleId="style1">
    <w:name w:val="heading 1"/>
    <w:basedOn w:val="style4103"/>
    <w:next w:val="style66"/>
    <w:qFormat/>
    <w:pPr>
      <w:outlineLvl w:val="0"/>
    </w:pPr>
    <w:rPr>
      <w:b/>
      <w:bCs/>
      <w:sz w:val="32"/>
      <w:szCs w:val="32"/>
    </w:rPr>
  </w:style>
  <w:style w:type="paragraph" w:styleId="style2">
    <w:name w:val="heading 2"/>
    <w:basedOn w:val="style4103"/>
    <w:next w:val="style66"/>
    <w:qFormat/>
    <w:pPr>
      <w:numPr>
        <w:ilvl w:val="1"/>
        <w:numId w:val="8"/>
      </w:numPr>
      <w:outlineLvl w:val="1"/>
    </w:pPr>
    <w:rPr>
      <w:b/>
      <w:bCs/>
      <w:i/>
      <w:i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_ECV_HeadingContactDetails"/>
    <w:next w:val="style4097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style4098">
    <w:name w:val="_ECV_ContactDetails"/>
    <w:next w:val="style409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style4099">
    <w:name w:val="Numbering Symbols"/>
    <w:next w:val="style4099"/>
  </w:style>
  <w:style w:type="character" w:customStyle="1" w:styleId="style4100">
    <w:name w:val="Bullets"/>
    <w:next w:val="style4100"/>
    <w:rPr>
      <w:rFonts w:ascii="OpenSymbol" w:cs="OpenSymbol" w:eastAsia="OpenSymbol" w:hAnsi="OpenSymbol"/>
    </w:rPr>
  </w:style>
  <w:style w:type="character" w:styleId="style40">
    <w:name w:val="line number"/>
    <w:next w:val="style40"/>
  </w:style>
  <w:style w:type="character" w:styleId="style85">
    <w:name w:val="Hyperlink"/>
    <w:next w:val="style85"/>
    <w:rPr>
      <w:color w:val="000080"/>
      <w:u w:val="single"/>
    </w:rPr>
  </w:style>
  <w:style w:type="character" w:customStyle="1" w:styleId="style4101">
    <w:name w:val="_ECV_InternetLink"/>
    <w:next w:val="style410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style4102">
    <w:name w:val="_ECV_HeadingBusinessSector"/>
    <w:next w:val="style4102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tyle86">
    <w:name w:val="FollowedHyperlink"/>
    <w:next w:val="style86"/>
    <w:rPr>
      <w:color w:val="800000"/>
      <w:u w:val="single"/>
    </w:rPr>
  </w:style>
  <w:style w:type="paragraph" w:customStyle="1" w:styleId="style4103">
    <w:name w:val="Heading"/>
    <w:basedOn w:val="style0"/>
    <w:next w:val="style66"/>
    <w:pPr>
      <w:keepNext/>
      <w:spacing w:before="240" w:after="120"/>
    </w:pPr>
    <w:rPr>
      <w:rFonts w:eastAsia="Microsoft YaHei"/>
      <w:sz w:val="28"/>
      <w:szCs w:val="28"/>
    </w:rPr>
  </w:style>
  <w:style w:type="paragraph" w:styleId="style66">
    <w:name w:val="Body Text"/>
    <w:basedOn w:val="style0"/>
    <w:next w:val="style66"/>
    <w:pPr>
      <w:spacing w:lineRule="atLeast" w:line="100"/>
    </w:pPr>
    <w:rPr/>
  </w:style>
  <w:style w:type="paragraph" w:styleId="style47">
    <w:name w:val="List"/>
    <w:basedOn w:val="style66"/>
    <w:next w:val="style47"/>
    <w:pPr/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i/>
      <w:iCs/>
      <w:sz w:val="24"/>
    </w:rPr>
  </w:style>
  <w:style w:type="paragraph" w:customStyle="1" w:styleId="style4104">
    <w:name w:val="Index"/>
    <w:basedOn w:val="style0"/>
    <w:next w:val="style4104"/>
    <w:pPr>
      <w:suppressLineNumbers/>
    </w:pPr>
    <w:rPr/>
  </w:style>
  <w:style w:type="paragraph" w:customStyle="1" w:styleId="style4105">
    <w:name w:val="Table Contents"/>
    <w:basedOn w:val="style0"/>
    <w:next w:val="style4105"/>
    <w:pPr>
      <w:suppressLineNumbers/>
    </w:pPr>
    <w:rPr/>
  </w:style>
  <w:style w:type="paragraph" w:customStyle="1" w:styleId="style4106">
    <w:name w:val="Table Heading"/>
    <w:basedOn w:val="style4105"/>
    <w:next w:val="style4106"/>
    <w:pPr>
      <w:jc w:val="center"/>
    </w:pPr>
    <w:rPr>
      <w:b/>
      <w:bCs/>
    </w:rPr>
  </w:style>
  <w:style w:type="paragraph" w:customStyle="1" w:styleId="style4107">
    <w:name w:val="_ECV_LeftHeading"/>
    <w:basedOn w:val="style4105"/>
    <w:next w:val="style4107"/>
    <w:pPr>
      <w:ind w:right="283"/>
      <w:jc w:val="right"/>
    </w:pPr>
    <w:rPr>
      <w:caps/>
      <w:color w:val="0e4194"/>
      <w:sz w:val="18"/>
    </w:rPr>
  </w:style>
  <w:style w:type="paragraph" w:customStyle="1" w:styleId="style4108">
    <w:name w:val="_ECV_MiddleColumn"/>
    <w:basedOn w:val="style4105"/>
    <w:next w:val="style4108"/>
    <w:pPr/>
    <w:rPr>
      <w:color w:val="404040"/>
      <w:sz w:val="20"/>
    </w:rPr>
  </w:style>
  <w:style w:type="paragraph" w:customStyle="1" w:styleId="style4109">
    <w:name w:val="_ECV_RightColumn"/>
    <w:basedOn w:val="style4105"/>
    <w:next w:val="style4109"/>
    <w:pPr>
      <w:spacing w:before="62"/>
    </w:pPr>
    <w:rPr>
      <w:color w:val="404040"/>
    </w:rPr>
  </w:style>
  <w:style w:type="paragraph" w:customStyle="1" w:styleId="style4110">
    <w:name w:val="_ECV_NameField"/>
    <w:basedOn w:val="style4109"/>
    <w:next w:val="style4110"/>
    <w:pPr>
      <w:spacing w:before="0" w:lineRule="atLeast" w:line="100"/>
    </w:pPr>
    <w:rPr>
      <w:color w:val="3f3a38"/>
      <w:sz w:val="26"/>
      <w:szCs w:val="18"/>
    </w:rPr>
  </w:style>
  <w:style w:type="paragraph" w:customStyle="1" w:styleId="style4111">
    <w:name w:val="_ECV_RightHeading"/>
    <w:basedOn w:val="style4110"/>
    <w:next w:val="style4111"/>
    <w:pPr>
      <w:spacing w:before="62"/>
      <w:jc w:val="right"/>
    </w:pPr>
    <w:rPr>
      <w:color w:val="1593cb"/>
      <w:sz w:val="15"/>
    </w:rPr>
  </w:style>
  <w:style w:type="paragraph" w:customStyle="1" w:styleId="style4112">
    <w:name w:val="_ECV_1stPage"/>
    <w:basedOn w:val="style4111"/>
    <w:next w:val="style4112"/>
    <w:pPr>
      <w:tabs>
        <w:tab w:val="left" w:leader="none" w:pos="2835"/>
        <w:tab w:val="right" w:leader="none" w:pos="10205"/>
      </w:tabs>
      <w:spacing w:before="215"/>
      <w:jc w:val="left"/>
    </w:pPr>
    <w:rPr>
      <w:sz w:val="20"/>
    </w:rPr>
  </w:style>
  <w:style w:type="paragraph" w:customStyle="1" w:styleId="style4113">
    <w:name w:val="_ECV_ContactDetails"/>
    <w:basedOn w:val="style4110"/>
    <w:next w:val="style4113"/>
    <w:pPr>
      <w:textAlignment w:val="center"/>
    </w:pPr>
    <w:rPr>
      <w:kern w:val="0"/>
      <w:sz w:val="18"/>
    </w:rPr>
  </w:style>
  <w:style w:type="paragraph" w:customStyle="1" w:styleId="style4114">
    <w:name w:val="_ECV_Comments"/>
    <w:basedOn w:val="style4138"/>
    <w:next w:val="style4114"/>
    <w:pPr>
      <w:jc w:val="center"/>
    </w:pPr>
    <w:rPr>
      <w:color w:val="ff0000"/>
    </w:rPr>
  </w:style>
  <w:style w:type="paragraph" w:customStyle="1" w:styleId="style4115">
    <w:name w:val="_ECV_NarrowSpacing"/>
    <w:basedOn w:val="style4109"/>
    <w:next w:val="style4115"/>
    <w:pPr/>
    <w:rPr>
      <w:color w:val="402c24"/>
      <w:sz w:val="8"/>
      <w:szCs w:val="10"/>
    </w:rPr>
  </w:style>
  <w:style w:type="paragraph" w:customStyle="1" w:styleId="style4116">
    <w:name w:val="_ECV_SectionSpacing"/>
    <w:basedOn w:val="style4109"/>
    <w:next w:val="style4116"/>
    <w:pPr/>
  </w:style>
  <w:style w:type="paragraph" w:customStyle="1" w:styleId="style4117">
    <w:name w:val="Table"/>
    <w:basedOn w:val="style34"/>
    <w:next w:val="style4117"/>
    <w:pPr/>
  </w:style>
  <w:style w:type="paragraph" w:customStyle="1" w:styleId="style4118">
    <w:name w:val="_ECV_SubSectionHeading"/>
    <w:basedOn w:val="style4109"/>
    <w:next w:val="style4118"/>
    <w:pPr>
      <w:spacing w:before="0" w:lineRule="atLeast" w:line="100"/>
    </w:pPr>
    <w:rPr>
      <w:color w:val="0e4194"/>
      <w:sz w:val="22"/>
    </w:rPr>
  </w:style>
  <w:style w:type="paragraph" w:customStyle="1" w:styleId="style4119">
    <w:name w:val="_ECV_OrganisationDetails"/>
    <w:basedOn w:val="style4109"/>
    <w:next w:val="style4119"/>
    <w:pPr>
      <w:autoSpaceDE w:val="false"/>
      <w:spacing w:before="57" w:after="85" w:lineRule="atLeast" w:line="100"/>
    </w:pPr>
    <w:rPr>
      <w:rFonts w:cs="ArialMT" w:eastAsia="ArialMT"/>
      <w:color w:val="3f3a38"/>
      <w:sz w:val="18"/>
      <w:szCs w:val="18"/>
    </w:rPr>
  </w:style>
  <w:style w:type="paragraph" w:customStyle="1" w:styleId="style4120">
    <w:name w:val="_ECV_SectionDetails"/>
    <w:basedOn w:val="style0"/>
    <w:next w:val="style4120"/>
    <w:pPr>
      <w:suppressLineNumbers/>
      <w:autoSpaceDE w:val="false"/>
      <w:spacing w:before="28" w:lineRule="atLeast" w:line="100"/>
    </w:pPr>
    <w:rPr>
      <w:sz w:val="18"/>
    </w:rPr>
  </w:style>
  <w:style w:type="paragraph" w:customStyle="1" w:styleId="style4121">
    <w:name w:val="_ECV_SectionBullet"/>
    <w:basedOn w:val="style4120"/>
    <w:next w:val="style4121"/>
    <w:pPr>
      <w:spacing w:before="0"/>
    </w:pPr>
    <w:rPr/>
  </w:style>
  <w:style w:type="paragraph" w:customStyle="1" w:styleId="style4122">
    <w:name w:val="_ECV_HeadingBullet"/>
    <w:basedOn w:val="style4107"/>
    <w:next w:val="style4122"/>
    <w:pPr>
      <w:numPr>
        <w:ilvl w:val="0"/>
        <w:numId w:val="8"/>
      </w:numPr>
      <w:spacing w:lineRule="atLeast" w:line="100"/>
      <w:outlineLvl w:val="0"/>
    </w:pPr>
    <w:rPr/>
  </w:style>
  <w:style w:type="paragraph" w:customStyle="1" w:styleId="style4123">
    <w:name w:val="_ECV_SubHeadingBullet"/>
    <w:basedOn w:val="style4131"/>
    <w:next w:val="style4123"/>
    <w:pPr>
      <w:spacing w:before="0" w:lineRule="atLeast" w:line="100"/>
    </w:pPr>
    <w:rPr/>
  </w:style>
  <w:style w:type="paragraph" w:customStyle="1" w:styleId="style4124">
    <w:name w:val="CV Major"/>
    <w:basedOn w:val="style0"/>
    <w:next w:val="style4124"/>
    <w:pPr>
      <w:ind w:left="113" w:right="113"/>
    </w:pPr>
    <w:rPr>
      <w:b/>
      <w:sz w:val="24"/>
    </w:rPr>
  </w:style>
  <w:style w:type="paragraph" w:customStyle="1" w:styleId="style4125">
    <w:name w:val="_ECV_Date"/>
    <w:basedOn w:val="style4107"/>
    <w:next w:val="style4125"/>
    <w:pPr>
      <w:spacing w:before="28" w:lineRule="atLeast" w:line="100"/>
      <w:textAlignment w:val="top"/>
    </w:pPr>
    <w:rPr>
      <w:caps w:val="false"/>
    </w:rPr>
  </w:style>
  <w:style w:type="paragraph" w:customStyle="1" w:styleId="style4126">
    <w:name w:val="CV Heading 3"/>
    <w:basedOn w:val="style0"/>
    <w:next w:val="style0"/>
    <w:pPr>
      <w:ind w:left="113" w:right="113"/>
      <w:jc w:val="right"/>
      <w:textAlignment w:val="center"/>
    </w:pPr>
    <w:rPr/>
  </w:style>
  <w:style w:type="paragraph" w:customStyle="1" w:styleId="style4127">
    <w:name w:val="_ECV_HeadingLine"/>
    <w:basedOn w:val="style4118"/>
    <w:next w:val="style4127"/>
    <w:pPr/>
    <w:rPr>
      <w:color w:val="17ace6"/>
    </w:rPr>
  </w:style>
  <w:style w:type="paragraph" w:styleId="style31">
    <w:name w:val="header"/>
    <w:basedOn w:val="style0"/>
    <w:next w:val="style31"/>
    <w:pPr>
      <w:suppressLineNumbers/>
      <w:tabs>
        <w:tab w:val="center" w:leader="none" w:pos="5103"/>
        <w:tab w:val="right" w:leader="none" w:pos="10206"/>
      </w:tabs>
    </w:pPr>
    <w:rPr/>
  </w:style>
  <w:style w:type="paragraph" w:customStyle="1" w:styleId="style4128">
    <w:name w:val="_ECV_Attachment"/>
    <w:basedOn w:val="style4120"/>
    <w:next w:val="style4128"/>
    <w:pPr>
      <w:jc w:val="right"/>
    </w:pPr>
    <w:rPr>
      <w:u w:val="single"/>
    </w:rPr>
  </w:style>
  <w:style w:type="paragraph" w:customStyle="1" w:styleId="style4129">
    <w:name w:val="_ECV_HeaderFirstPage"/>
    <w:basedOn w:val="style31"/>
    <w:next w:val="style4129"/>
    <w:pPr>
      <w:tabs>
        <w:tab w:val="center" w:leader="none" w:pos="2835"/>
      </w:tabs>
      <w:spacing w:lineRule="atLeast" w:line="100"/>
    </w:pPr>
    <w:rPr>
      <w:color w:val="17ace6"/>
      <w:sz w:val="20"/>
    </w:rPr>
  </w:style>
  <w:style w:type="paragraph" w:customStyle="1" w:styleId="style4130">
    <w:name w:val="_ECV_HeaderOtherPage"/>
    <w:basedOn w:val="style4129"/>
    <w:next w:val="style4130"/>
    <w:pPr/>
  </w:style>
  <w:style w:type="paragraph" w:customStyle="1" w:styleId="style4131">
    <w:name w:val="_ECV_LeftDetails"/>
    <w:basedOn w:val="style4107"/>
    <w:next w:val="style4131"/>
    <w:pPr>
      <w:spacing w:before="23"/>
    </w:pPr>
    <w:rPr>
      <w:caps w:val="false"/>
    </w:rPr>
  </w:style>
  <w:style w:type="paragraph" w:styleId="style32">
    <w:name w:val="footer"/>
    <w:basedOn w:val="style0"/>
    <w:next w:val="style32"/>
    <w:pPr>
      <w:suppressLineNumbers/>
      <w:tabs>
        <w:tab w:val="right" w:leader="none" w:pos="2835"/>
        <w:tab w:val="left" w:leader="none" w:pos="10205"/>
      </w:tabs>
    </w:pPr>
    <w:rPr>
      <w:color w:val="1593cb"/>
    </w:rPr>
  </w:style>
  <w:style w:type="paragraph" w:customStyle="1" w:styleId="style4132">
    <w:name w:val="_ECV_LanguageHeading"/>
    <w:basedOn w:val="style4109"/>
    <w:next w:val="style4132"/>
    <w:pPr>
      <w:spacing w:before="0"/>
      <w:jc w:val="center"/>
    </w:pPr>
    <w:rPr>
      <w:caps/>
      <w:color w:val="0e4194"/>
      <w:sz w:val="14"/>
    </w:rPr>
  </w:style>
  <w:style w:type="paragraph" w:customStyle="1" w:styleId="style4133">
    <w:name w:val="_ECV_LanguageSubHeading"/>
    <w:basedOn w:val="style4132"/>
    <w:next w:val="style4133"/>
    <w:pPr>
      <w:spacing w:lineRule="atLeast" w:line="100"/>
    </w:pPr>
    <w:rPr>
      <w:caps w:val="false"/>
      <w:sz w:val="16"/>
    </w:rPr>
  </w:style>
  <w:style w:type="paragraph" w:customStyle="1" w:styleId="style4134">
    <w:name w:val="_ECV_LanguageLevel"/>
    <w:basedOn w:val="style4120"/>
    <w:next w:val="style4134"/>
    <w:pPr>
      <w:jc w:val="center"/>
      <w:textAlignment w:val="center"/>
    </w:pPr>
    <w:rPr>
      <w:caps/>
    </w:rPr>
  </w:style>
  <w:style w:type="paragraph" w:customStyle="1" w:styleId="style4135">
    <w:name w:val="_ECV_LanguageCertificate"/>
    <w:basedOn w:val="style4109"/>
    <w:next w:val="style4135"/>
    <w:pPr>
      <w:spacing w:before="0" w:lineRule="atLeast" w:line="100"/>
      <w:ind w:right="283"/>
      <w:jc w:val="center"/>
    </w:pPr>
    <w:rPr>
      <w:color w:val="3f3a38"/>
    </w:rPr>
  </w:style>
  <w:style w:type="paragraph" w:customStyle="1" w:styleId="style4136">
    <w:name w:val="_ECV_LanguageExplanation"/>
    <w:basedOn w:val="style0"/>
    <w:next w:val="style4136"/>
    <w:pPr>
      <w:autoSpaceDE w:val="false"/>
      <w:spacing w:lineRule="atLeast" w:line="100"/>
    </w:pPr>
    <w:rPr>
      <w:color w:val="0e4194"/>
      <w:sz w:val="15"/>
    </w:rPr>
  </w:style>
  <w:style w:type="paragraph" w:customStyle="1" w:styleId="style4137">
    <w:name w:val="_ECV_Links"/>
    <w:basedOn w:val="style4113"/>
    <w:next w:val="style4137"/>
    <w:pPr/>
    <w:rPr>
      <w:u w:val="single"/>
    </w:rPr>
  </w:style>
  <w:style w:type="paragraph" w:customStyle="1" w:styleId="style4138">
    <w:name w:val="_ECV_Text"/>
    <w:basedOn w:val="style66"/>
    <w:next w:val="style4138"/>
    <w:pPr/>
  </w:style>
  <w:style w:type="paragraph" w:customStyle="1" w:styleId="style4139">
    <w:name w:val="_ECV_BusinessSector"/>
    <w:basedOn w:val="style4119"/>
    <w:next w:val="style4139"/>
    <w:pPr>
      <w:spacing w:before="113" w:after="0"/>
    </w:pPr>
    <w:rPr/>
  </w:style>
  <w:style w:type="paragraph" w:customStyle="1" w:styleId="style4140">
    <w:name w:val="_ECV_LanguageName"/>
    <w:basedOn w:val="style4135"/>
    <w:next w:val="style4140"/>
    <w:pPr>
      <w:jc w:val="right"/>
    </w:pPr>
    <w:rPr>
      <w:sz w:val="18"/>
    </w:rPr>
  </w:style>
  <w:style w:type="paragraph" w:customStyle="1" w:styleId="style4141">
    <w:name w:val="_ECV_PersonalInfoHeading"/>
    <w:basedOn w:val="style4107"/>
    <w:next w:val="style4141"/>
    <w:pPr>
      <w:spacing w:before="57"/>
    </w:pPr>
    <w:rPr/>
  </w:style>
  <w:style w:type="paragraph" w:customStyle="1" w:styleId="style4142">
    <w:name w:val="_ECV_OccupationalFieldHeading"/>
    <w:basedOn w:val="style4107"/>
    <w:next w:val="style4142"/>
    <w:pPr>
      <w:spacing w:before="57"/>
    </w:pPr>
    <w:rPr/>
  </w:style>
  <w:style w:type="paragraph" w:customStyle="1" w:styleId="style4143">
    <w:name w:val="_ECV_GenderRow"/>
    <w:basedOn w:val="style0"/>
    <w:next w:val="style4143"/>
    <w:pPr>
      <w:spacing w:before="85"/>
    </w:pPr>
    <w:rPr>
      <w:color w:val="1593cb"/>
    </w:rPr>
  </w:style>
  <w:style w:type="paragraph" w:customStyle="1" w:styleId="style4144">
    <w:name w:val="_ECV_CurriculumVitae_NextPages"/>
    <w:basedOn w:val="style4112"/>
    <w:next w:val="style4144"/>
    <w:pPr>
      <w:tabs>
        <w:tab w:val="clear" w:pos="10205"/>
      </w:tabs>
      <w:spacing w:before="153"/>
      <w:jc w:val="right"/>
    </w:pPr>
    <w:rPr/>
  </w:style>
  <w:style w:type="paragraph" w:customStyle="1" w:styleId="style4145">
    <w:name w:val="_ECV_BusinessSctionRow"/>
    <w:basedOn w:val="style0"/>
    <w:next w:val="style4145"/>
    <w:pPr/>
  </w:style>
  <w:style w:type="paragraph" w:customStyle="1" w:styleId="style4146">
    <w:name w:val="_ECV_BusinessSectorRow"/>
    <w:basedOn w:val="style0"/>
    <w:next w:val="style4146"/>
    <w:pPr/>
  </w:style>
  <w:style w:type="paragraph" w:customStyle="1" w:styleId="style4147">
    <w:name w:val="_ECV_BlueBox"/>
    <w:basedOn w:val="style4115"/>
    <w:next w:val="style4147"/>
    <w:pPr>
      <w:spacing w:before="0"/>
      <w:jc w:val="right"/>
      <w:textAlignment w:val="bottom"/>
    </w:pPr>
    <w:rPr>
      <w:spacing w:val="0"/>
    </w:rPr>
  </w:style>
  <w:style w:type="paragraph" w:customStyle="1" w:styleId="style4148">
    <w:name w:val="_ESP_1stPage"/>
    <w:basedOn w:val="style4144"/>
    <w:next w:val="style4148"/>
    <w:pPr/>
  </w:style>
  <w:style w:type="paragraph" w:customStyle="1" w:styleId="style4149">
    <w:name w:val="_ESP_Text"/>
    <w:basedOn w:val="style4138"/>
    <w:next w:val="style4149"/>
    <w:pPr/>
  </w:style>
  <w:style w:type="paragraph" w:customStyle="1" w:styleId="style4150">
    <w:name w:val="_ESP_Heading"/>
    <w:basedOn w:val="style4149"/>
    <w:next w:val="style4150"/>
    <w:pPr/>
    <w:rPr>
      <w:b/>
      <w:bCs/>
      <w:sz w:val="32"/>
      <w:szCs w:val="32"/>
    </w:rPr>
  </w:style>
  <w:style w:type="paragraph" w:customStyle="1" w:styleId="style4151">
    <w:name w:val="Footer left"/>
    <w:basedOn w:val="style0"/>
    <w:next w:val="style4151"/>
    <w:pPr>
      <w:suppressLineNumbers/>
      <w:tabs>
        <w:tab w:val="center" w:leader="none" w:pos="5188"/>
        <w:tab w:val="right" w:leader="none" w:pos="10376"/>
      </w:tabs>
    </w:pPr>
    <w:rPr/>
  </w:style>
  <w:style w:type="paragraph" w:customStyle="1" w:styleId="style4152">
    <w:name w:val="Footer right"/>
    <w:basedOn w:val="style0"/>
    <w:next w:val="style4152"/>
    <w:pPr>
      <w:suppressLineNumbers/>
      <w:tabs>
        <w:tab w:val="center" w:leader="none" w:pos="5188"/>
        <w:tab w:val="right" w:leader="none" w:pos="10376"/>
      </w:tabs>
    </w:pPr>
    <w:rPr/>
  </w:style>
  <w:style w:type="paragraph" w:customStyle="1" w:styleId="style4153">
    <w:name w:val="_ECV_RelatedDocumentRow"/>
    <w:basedOn w:val="style4146"/>
    <w:next w:val="style4153"/>
    <w:pPr/>
  </w:style>
  <w:style w:type="paragraph" w:customStyle="1" w:styleId="style4154">
    <w:name w:val="Europass_SectionDetails"/>
    <w:basedOn w:val="style0"/>
    <w:next w:val="style4154"/>
    <w:pPr>
      <w:suppressLineNumbers/>
      <w:autoSpaceDE w:val="false"/>
      <w:spacing w:before="28" w:after="56" w:lineRule="atLeast" w:line="100"/>
    </w:pPr>
    <w:rPr>
      <w:sz w:val="18"/>
    </w:rPr>
  </w:style>
  <w:style w:type="character" w:customStyle="1" w:styleId="style4155">
    <w:name w:val="fontstyle01"/>
    <w:basedOn w:val="style65"/>
    <w:next w:val="style4155"/>
    <w:rPr>
      <w:rFonts w:ascii="Calibri" w:cs="Calibri" w:hAnsi="Calibri" w:hint="default"/>
      <w:b w:val="false"/>
      <w:bCs w:val="false"/>
      <w:i w:val="false"/>
      <w:iCs w:val="false"/>
      <w:color w:val="000000"/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56">
    <w:name w:val="fontstyle21"/>
    <w:basedOn w:val="style65"/>
    <w:next w:val="style4156"/>
    <w:rPr>
      <w:rFonts w:ascii="Calibri-Bold" w:hAnsi="Calibri-Bold" w:hint="default"/>
      <w:b/>
      <w:bCs/>
      <w:i w:val="false"/>
      <w:iCs w:val="false"/>
      <w:color w:val="3f3a38"/>
      <w:sz w:val="22"/>
      <w:szCs w:val="22"/>
    </w:rPr>
  </w:style>
  <w:style w:type="character" w:customStyle="1" w:styleId="style4157">
    <w:name w:val="fontstyle31"/>
    <w:basedOn w:val="style65"/>
    <w:next w:val="style4157"/>
    <w:rPr>
      <w:rFonts w:ascii="Calibri-BoldItalic" w:hAnsi="Calibri-BoldItalic" w:hint="default"/>
      <w:b/>
      <w:bCs/>
      <w:i/>
      <w:iCs/>
      <w:color w:val="3f3a38"/>
      <w:sz w:val="22"/>
      <w:szCs w:val="22"/>
    </w:rPr>
  </w:style>
  <w:style w:type="character" w:customStyle="1" w:styleId="style4158">
    <w:name w:val="fontstyle41"/>
    <w:basedOn w:val="style65"/>
    <w:next w:val="style4158"/>
    <w:rPr>
      <w:rFonts w:ascii="Calibri" w:cs="Calibri" w:hAnsi="Calibri" w:hint="default"/>
      <w:b w:val="false"/>
      <w:bCs w:val="false"/>
      <w:i w:val="false"/>
      <w:iCs w:val="false"/>
      <w:color w:val="3f3a38"/>
      <w:sz w:val="22"/>
      <w:szCs w:val="22"/>
    </w:rPr>
  </w:style>
  <w:style w:type="character" w:customStyle="1" w:styleId="style4159">
    <w:name w:val="Unresolved Mention"/>
    <w:basedOn w:val="style65"/>
    <w:next w:val="style4159"/>
    <w:uiPriority w:val="99"/>
    <w:rPr>
      <w:color w:val="605e5c"/>
      <w:shd w:val="clear" w:color="auto" w:fill="e1dfdd"/>
    </w:rPr>
  </w:style>
  <w:style w:type="paragraph" w:styleId="style153">
    <w:name w:val="Balloon Text"/>
    <w:basedOn w:val="style0"/>
    <w:next w:val="style153"/>
    <w:link w:val="style4160"/>
    <w:uiPriority w:val="99"/>
    <w:pPr/>
    <w:rPr>
      <w:rFonts w:ascii="Tahoma" w:hAnsi="Tahoma"/>
      <w:szCs w:val="14"/>
    </w:rPr>
  </w:style>
  <w:style w:type="character" w:customStyle="1" w:styleId="style4160">
    <w:name w:val="Balloon Text Char"/>
    <w:basedOn w:val="style65"/>
    <w:next w:val="style4160"/>
    <w:link w:val="style153"/>
    <w:uiPriority w:val="99"/>
    <w:rPr>
      <w:rFonts w:ascii="Tahoma" w:cs="Mangal" w:eastAsia="SimSun" w:hAnsi="Tahoma"/>
      <w:color w:val="3f3a38"/>
      <w:spacing w:val="-6"/>
      <w:kern w:val="1"/>
      <w:sz w:val="16"/>
      <w:szCs w:val="14"/>
      <w:lang w:bidi="hi-IN" w:eastAsia="hi-IN"/>
    </w:rPr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png"/><Relationship Id="rId12" Type="http://schemas.openxmlformats.org/officeDocument/2006/relationships/styles" Target="styles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1" Type="http://schemas.openxmlformats.org/officeDocument/2006/relationships/footer" Target="footer4.xml"/><Relationship Id="rId14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image" Target="media/image1.jpeg"/><Relationship Id="rId10" Type="http://schemas.openxmlformats.org/officeDocument/2006/relationships/footer" Target="footer3.xml"/><Relationship Id="rId13" Type="http://schemas.openxmlformats.org/officeDocument/2006/relationships/fontTable" Target="fontTable.xml"/><Relationship Id="rId8" Type="http://schemas.openxmlformats.org/officeDocument/2006/relationships/header" Target="header1.xml"/><Relationship Id="rId4" Type="http://schemas.openxmlformats.org/officeDocument/2006/relationships/image" Target="media/image3.png"/><Relationship Id="rId9" Type="http://schemas.openxmlformats.org/officeDocument/2006/relationships/header" Target="header2.xml"/><Relationship Id="rId3" Type="http://schemas.openxmlformats.org/officeDocument/2006/relationships/image" Target="media/image2.png"/><Relationship Id="rId6" Type="http://schemas.openxmlformats.org/officeDocument/2006/relationships/image" Target="media/image5.png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FDE9-5501-4A46-97B0-E99F3ECD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Words>875</Words>
  <Pages>5</Pages>
  <Characters>5702</Characters>
  <Application>WPS Office</Application>
  <DocSecurity>0</DocSecurity>
  <Paragraphs>267</Paragraphs>
  <ScaleCrop>false</ScaleCrop>
  <Company>kkostas</Company>
  <LinksUpToDate>false</LinksUpToDate>
  <CharactersWithSpaces>6515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2019-07-29T05:51:00Z</dcterms:created>
  <dc:creator>M Amin</dc:creator>
  <dc:description>Europass CV</dc:description>
  <keywords>CV</keywords>
  <lastModifiedBy>CPH1723</lastModifiedBy>
  <lastPrinted>2019-08-02T21:58:00Z</lastPrinted>
  <dcterms:modified xsi:type="dcterms:W3CDTF">2021-05-27T15:43:37Z</dcterms:modified>
  <revision>38</revision>
  <dc:subject>Europass CV</dc:subject>
  <dc:title>Europass CV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